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8ED37B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08382BA" w14:textId="79FAEECB" w:rsidR="00FE4539" w:rsidRPr="00FE4539" w:rsidRDefault="00FE4539" w:rsidP="00FE4539">
      <w:pPr>
        <w:jc w:val="center"/>
        <w:rPr>
          <w:b/>
          <w:bCs/>
          <w:sz w:val="28"/>
          <w:szCs w:val="28"/>
        </w:rPr>
      </w:pPr>
      <w:r w:rsidRPr="00FE4539">
        <w:rPr>
          <w:b/>
          <w:bCs/>
          <w:sz w:val="28"/>
          <w:szCs w:val="28"/>
        </w:rPr>
        <w:t>«Росатом» обучит белорусских студентов 3D-моделированию</w:t>
      </w:r>
    </w:p>
    <w:p w14:paraId="203AE686" w14:textId="77777777" w:rsidR="00FE4539" w:rsidRPr="00FE4539" w:rsidRDefault="00FE4539" w:rsidP="00FE4539">
      <w:pPr>
        <w:jc w:val="center"/>
        <w:rPr>
          <w:i/>
          <w:iCs/>
        </w:rPr>
      </w:pPr>
      <w:r w:rsidRPr="00FE4539">
        <w:rPr>
          <w:i/>
          <w:iCs/>
        </w:rPr>
        <w:t>Семинар пройдет на базе одного из опорных вузов госкорпорации в Москве</w:t>
      </w:r>
    </w:p>
    <w:p w14:paraId="0EAA6B10" w14:textId="77777777" w:rsidR="00FE4539" w:rsidRPr="00FE4539" w:rsidRDefault="00FE4539" w:rsidP="00FE4539"/>
    <w:p w14:paraId="3ADA0A1F" w14:textId="77777777" w:rsidR="00FE4539" w:rsidRPr="00FE4539" w:rsidRDefault="00FE4539" w:rsidP="00FE4539">
      <w:pPr>
        <w:rPr>
          <w:b/>
          <w:bCs/>
        </w:rPr>
      </w:pPr>
      <w:r w:rsidRPr="00FE4539">
        <w:rPr>
          <w:b/>
          <w:bCs/>
        </w:rPr>
        <w:t xml:space="preserve">«Росатом» в сентябре 2025 года организует пилотный семинар по 3D-моделированию для белорусских студентов. Недельный семинар по работе с программой T-Flex CAD пройдет при поддержке компании «Топ системы» на базе одного из опорных вузов госкорпорации в Москве. </w:t>
      </w:r>
    </w:p>
    <w:p w14:paraId="59C321C6" w14:textId="77777777" w:rsidR="00FE4539" w:rsidRPr="00FE4539" w:rsidRDefault="00FE4539" w:rsidP="00FE4539"/>
    <w:p w14:paraId="2DF392F4" w14:textId="77777777" w:rsidR="00FE4539" w:rsidRPr="00FE4539" w:rsidRDefault="00FE4539" w:rsidP="00FE4539">
      <w:r w:rsidRPr="00FE4539">
        <w:t>Студенты познакомятся с основами работы в CAD-системах, научатся проектированию промышленных объектов, а также созданию моделей для аддитивного производства. Результатом семинара станет 3D-модель Белорусской АЭС, которая будет напечатана в Центре аддитивных технологий «Росатома».</w:t>
      </w:r>
    </w:p>
    <w:p w14:paraId="7459754D" w14:textId="77777777" w:rsidR="00FE4539" w:rsidRPr="00FE4539" w:rsidRDefault="00FE4539" w:rsidP="00FE4539"/>
    <w:p w14:paraId="26F602EF" w14:textId="77777777" w:rsidR="00FE4539" w:rsidRPr="00FE4539" w:rsidRDefault="00FE4539" w:rsidP="00FE4539">
      <w:r w:rsidRPr="00FE4539">
        <w:t xml:space="preserve">«Системный подход позволил нам добиться серьезных результатов в развитии аддитивных технологий в России на всех участках производственной цепочки, начиная от разработки оборудования и программного обеспечения, вплоть до обучения персонала и создания федеральной сети центров аддитивных технологий общего доступа на базе ведущих вузов, которые объединяют учебные, производственные и научно-исследовательские функции. Данные инициативы позволяют проводить профориентацию, развивать “аддитивное мышление”, стимулировать развитие кадрового потенциала в области аддитивных технологий в ответ на потребности промышленных компаний России и Беларуси. Это концепция непрерывного образования в сфере высоких современных технологий, она призвана обеспечить нашим государствам технологический суверенитет, экономическое лидерство и эффективное сотрудничество на всех рынках в долгосрочной перспективе», – </w:t>
      </w:r>
      <w:r w:rsidRPr="00FE4539">
        <w:rPr>
          <w:b/>
          <w:bCs/>
        </w:rPr>
        <w:t xml:space="preserve">сказал Илья </w:t>
      </w:r>
      <w:proofErr w:type="spellStart"/>
      <w:r w:rsidRPr="00FE4539">
        <w:rPr>
          <w:b/>
          <w:bCs/>
        </w:rPr>
        <w:t>Кавелашвили</w:t>
      </w:r>
      <w:proofErr w:type="spellEnd"/>
      <w:r w:rsidRPr="00FE4539">
        <w:t xml:space="preserve">, директор бизнес-направления «Аддитивные технологии» госкорпорации «Росатом». </w:t>
      </w:r>
    </w:p>
    <w:p w14:paraId="46DB5D52" w14:textId="77777777" w:rsidR="00FE4539" w:rsidRPr="00FE4539" w:rsidRDefault="00FE4539" w:rsidP="00FE4539"/>
    <w:p w14:paraId="6897EC1A" w14:textId="5A23FA53" w:rsidR="00FE4539" w:rsidRPr="00FE4539" w:rsidRDefault="00FE4539" w:rsidP="00FE4539">
      <w:r w:rsidRPr="00FE4539">
        <w:t xml:space="preserve">«Сотрудничество госкорпорации “Росатом” с образовательными учреждениями позволяет адаптировать учебные программы под требования конкретных отраслей и современных предприятий. Совместный проект с опорным вузом фокусируется на развитии экспертных компетенций в сфере трёхмерного моделирования. Интеграция теоретических знаний и практического применения инновационных решений создаст прочный фундамент для карьерного роста в высокотехнологичных индустриях. Возможность работать с уникальными образовательными ресурсами позволит студентам освоить как базовые принципы CAD-технологий, так и сложные аспекты промышленного проектирования», – отметил директор по информационным и цифровым технологиям госкорпорации «Росатом» </w:t>
      </w:r>
      <w:r w:rsidRPr="00FE4539">
        <w:rPr>
          <w:b/>
          <w:bCs/>
        </w:rPr>
        <w:t>Евгений Абакумов</w:t>
      </w:r>
      <w:r w:rsidRPr="00FE4539">
        <w:t>.</w:t>
      </w:r>
      <w:r>
        <w:t xml:space="preserve"> </w:t>
      </w:r>
    </w:p>
    <w:p w14:paraId="27498F11" w14:textId="77777777" w:rsidR="00FE4539" w:rsidRPr="00FE4539" w:rsidRDefault="00FE4539" w:rsidP="00FE4539"/>
    <w:p w14:paraId="4C024F0D" w14:textId="1100E5D4" w:rsidR="00FE4539" w:rsidRPr="00FE4539" w:rsidRDefault="00FE4539" w:rsidP="00FE4539">
      <w:r w:rsidRPr="00FE4539">
        <w:t xml:space="preserve">«В начале этого года мы заключили соглашение о стратегическом партнерстве с госкорпорацией “Росатом”. Партнерство предполагает “синергию компетенций”, экспертизы и разработки решений в области управления жизненным циклом изделий и создания промышленного программного обеспечения для индустриальных заказчиков. Также мы </w:t>
      </w:r>
      <w:r w:rsidRPr="00FE4539">
        <w:lastRenderedPageBreak/>
        <w:t xml:space="preserve">планируем объединить наши усилия для реализации образовательных инициатив. Безусловно, одним из приоритетных направлений является реализация образовательных программ с опорными вузами “Росатома”», – подчеркнул директор по развитию АО «Топ Системы» </w:t>
      </w:r>
      <w:r w:rsidRPr="00FE4539">
        <w:rPr>
          <w:b/>
          <w:bCs/>
        </w:rPr>
        <w:t>Константин Головкин</w:t>
      </w:r>
      <w:r w:rsidRPr="00FE4539">
        <w:t>.</w:t>
      </w:r>
    </w:p>
    <w:p w14:paraId="0F9F7154" w14:textId="77777777" w:rsidR="00FE4539" w:rsidRPr="00FE4539" w:rsidRDefault="00FE4539" w:rsidP="00FE4539"/>
    <w:p w14:paraId="72CB618E" w14:textId="77777777" w:rsidR="00FE4539" w:rsidRPr="00FE4539" w:rsidRDefault="00FE4539" w:rsidP="00FE4539">
      <w:pPr>
        <w:rPr>
          <w:b/>
          <w:bCs/>
        </w:rPr>
      </w:pPr>
      <w:proofErr w:type="spellStart"/>
      <w:r w:rsidRPr="00FE4539">
        <w:rPr>
          <w:b/>
          <w:bCs/>
        </w:rPr>
        <w:t>Cправка</w:t>
      </w:r>
      <w:proofErr w:type="spellEnd"/>
      <w:r w:rsidRPr="00FE4539">
        <w:rPr>
          <w:b/>
          <w:bCs/>
        </w:rPr>
        <w:t>:</w:t>
      </w:r>
    </w:p>
    <w:p w14:paraId="7F6A6DB5" w14:textId="77777777" w:rsidR="00FE4539" w:rsidRPr="00FE4539" w:rsidRDefault="00FE4539" w:rsidP="00FE4539"/>
    <w:p w14:paraId="30FFB2F7" w14:textId="77777777" w:rsidR="00FE4539" w:rsidRPr="00FE4539" w:rsidRDefault="00FE4539" w:rsidP="00FE4539">
      <w:r w:rsidRPr="00FE4539">
        <w:t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Кроме того, трехмерная печать позволяет снизить массу изделий, оптимизировать затраченные материалы и сократить сроки производства. Современные 3D-принтеры позволяют оперативно перенастраивать параметры печати для изготовления изделий из различных материалов. Продукция 3D-печати используется в самых разных областях, от ядерных и космических технологий до медицины.</w:t>
      </w:r>
    </w:p>
    <w:p w14:paraId="5C816B18" w14:textId="77777777" w:rsidR="00FE4539" w:rsidRPr="00FE4539" w:rsidRDefault="00FE4539" w:rsidP="00FE4539"/>
    <w:p w14:paraId="6BF66EDA" w14:textId="299F0C84" w:rsidR="00FE4539" w:rsidRPr="00FE4539" w:rsidRDefault="00FE4539" w:rsidP="00FE4539">
      <w:r w:rsidRPr="00FE4539">
        <w:rPr>
          <w:b/>
          <w:bCs/>
        </w:rPr>
        <w:t>Топливный дивизион госкорпорации «Росатом» (управляющая компания – АО «ТВЭЛ»)</w:t>
      </w:r>
      <w:r w:rsidRPr="00FE4539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10" w:history="1">
        <w:r w:rsidRPr="00FE4539">
          <w:rPr>
            <w:rStyle w:val="a4"/>
          </w:rPr>
          <w:t>tvel.ru</w:t>
        </w:r>
      </w:hyperlink>
    </w:p>
    <w:p w14:paraId="68079A0D" w14:textId="77777777" w:rsidR="00FE4539" w:rsidRPr="00FE4539" w:rsidRDefault="00FE4539" w:rsidP="00FE4539"/>
    <w:p w14:paraId="06ADE47B" w14:textId="77777777" w:rsidR="00FE4539" w:rsidRPr="00FE4539" w:rsidRDefault="00FE4539" w:rsidP="00FE4539">
      <w:r w:rsidRPr="00FE4539">
        <w:t xml:space="preserve">«Росатом» первым из крупных российских компаний начал разрабатывать технологии и создавать отечественное оборудование для трехмерной печати, реализуя комплексный подход. Атомная отрасль выступает одновременно и поставщиком, и крупным заказчиком в области аддитивного производства, активно внедряет их в свои бизнес-процессы. </w:t>
      </w:r>
      <w:r w:rsidRPr="00FE4539">
        <w:rPr>
          <w:b/>
          <w:bCs/>
        </w:rPr>
        <w:t>Бизнес-направление «Аддитивные технологии» госкорпорации «Росатом»</w:t>
      </w:r>
      <w:r w:rsidRPr="00FE4539">
        <w:t xml:space="preserve"> объединяет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 </w:t>
      </w:r>
      <w:hyperlink r:id="rId11" w:history="1">
        <w:r w:rsidRPr="00FE4539">
          <w:rPr>
            <w:rStyle w:val="a4"/>
          </w:rPr>
          <w:t>https://rosat.tvel.ru/</w:t>
        </w:r>
      </w:hyperlink>
      <w:r w:rsidRPr="00FE4539">
        <w:t xml:space="preserve"> </w:t>
      </w:r>
    </w:p>
    <w:p w14:paraId="5822EA8B" w14:textId="77777777" w:rsidR="00FE4539" w:rsidRPr="00FE4539" w:rsidRDefault="00FE4539" w:rsidP="00FE4539"/>
    <w:p w14:paraId="4E8CC89C" w14:textId="77777777" w:rsidR="00FE4539" w:rsidRPr="00FE4539" w:rsidRDefault="00FE4539" w:rsidP="00FE4539">
      <w:r w:rsidRPr="00FE4539">
        <w:t>Госкорпорация «Росатом» развивает сотрудничество с Республикой Беларусь по многим направлениям. В марте прошлого года была подписана Комплексная программа российско-белорусского сотрудничества в области атомных неэнергетических и неатомных проектов. Документ предполагает последовательное развитие сотрудничества в таких сферах, как ядерная медицина, экология, цифровизация, технологии накопления энергии и электротранспорт. Стороны ведут проработку инвестиционного проекта Центра аддитивных технологий общего доступа в Республике Беларусь. CAD-системами (Computer-</w:t>
      </w:r>
      <w:proofErr w:type="spellStart"/>
      <w:r w:rsidRPr="00FE4539">
        <w:t>Aided</w:t>
      </w:r>
      <w:proofErr w:type="spellEnd"/>
      <w:r w:rsidRPr="00FE4539">
        <w:t xml:space="preserve"> Design) называется программное обеспечение, предназначенное для автоматизированного проектирования. </w:t>
      </w:r>
      <w:r w:rsidRPr="00FE4539">
        <w:lastRenderedPageBreak/>
        <w:t xml:space="preserve">Представляет собой организационно-техническую систему, состоящую из персонала и комплекса технических, программных и других средств автоматизации его деятельности. Также для обозначения подобных систем широко используется аббревиатура САПР. </w:t>
      </w:r>
    </w:p>
    <w:p w14:paraId="09F8FB04" w14:textId="77777777" w:rsidR="00FE4539" w:rsidRPr="00FE4539" w:rsidRDefault="00FE4539" w:rsidP="00FE4539"/>
    <w:p w14:paraId="2FC282F9" w14:textId="73FD0A64" w:rsidR="00FE4539" w:rsidRPr="00FE4539" w:rsidRDefault="00FE4539" w:rsidP="00FE4539">
      <w:r w:rsidRPr="00FE4539">
        <w:rPr>
          <w:b/>
          <w:bCs/>
        </w:rPr>
        <w:t xml:space="preserve">Ассоциация «Консорциум опорных вузов </w:t>
      </w:r>
      <w:r w:rsidRPr="00FE4539">
        <w:rPr>
          <w:b/>
          <w:bCs/>
        </w:rPr>
        <w:t>г</w:t>
      </w:r>
      <w:r w:rsidRPr="00FE4539">
        <w:rPr>
          <w:b/>
          <w:bCs/>
        </w:rPr>
        <w:t>оскорпорации „Росатом”»</w:t>
      </w:r>
      <w:r w:rsidRPr="00FE4539">
        <w:t xml:space="preserve"> </w:t>
      </w:r>
      <w:r w:rsidRPr="00FE4539">
        <w:rPr>
          <w:b/>
          <w:bCs/>
        </w:rPr>
        <w:t>–</w:t>
      </w:r>
      <w:r w:rsidRPr="00FE4539">
        <w:t xml:space="preserve">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Н.И. Лобачевского; Национальный исследовательский технологический университет «МИСиС» и другие вузы. </w:t>
      </w:r>
    </w:p>
    <w:p w14:paraId="54275EFA" w14:textId="77777777" w:rsidR="00FE4539" w:rsidRPr="00FE4539" w:rsidRDefault="00FE4539" w:rsidP="00FE4539"/>
    <w:p w14:paraId="05737278" w14:textId="77777777" w:rsidR="00FE4539" w:rsidRPr="00FE4539" w:rsidRDefault="00FE4539" w:rsidP="00FE4539">
      <w:r w:rsidRPr="00FE4539">
        <w:t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38FB0A4F" w14:textId="77777777" w:rsidR="00FE4539" w:rsidRPr="00FE4539" w:rsidRDefault="00FE4539" w:rsidP="00FE4539"/>
    <w:p w14:paraId="22DE3D3E" w14:textId="72EBEF45" w:rsidR="00786376" w:rsidRPr="00FE4539" w:rsidRDefault="00786376" w:rsidP="00FE4539"/>
    <w:sectPr w:rsidR="00786376" w:rsidRPr="00FE4539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F757" w14:textId="77777777" w:rsidR="001E3663" w:rsidRDefault="001E3663">
      <w:r>
        <w:separator/>
      </w:r>
    </w:p>
  </w:endnote>
  <w:endnote w:type="continuationSeparator" w:id="0">
    <w:p w14:paraId="60A7BBD8" w14:textId="77777777" w:rsidR="001E3663" w:rsidRDefault="001E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23059" w14:textId="77777777" w:rsidR="001E3663" w:rsidRDefault="001E3663">
      <w:r>
        <w:separator/>
      </w:r>
    </w:p>
  </w:footnote>
  <w:footnote w:type="continuationSeparator" w:id="0">
    <w:p w14:paraId="7C8D35A0" w14:textId="77777777" w:rsidR="001E3663" w:rsidRDefault="001E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3663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2025-04-10T11:00:00Z</dcterms:created>
  <dcterms:modified xsi:type="dcterms:W3CDTF">2025-04-10T11:00:00Z</dcterms:modified>
</cp:coreProperties>
</file>