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4250"/>
        <w:gridCol w:w="5018"/>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8"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1F4E80F1" w:rsidR="000776EB" w:rsidRPr="00E81081" w:rsidRDefault="00962AF9" w:rsidP="00E81081">
            <w:pPr>
              <w:ind w:right="560"/>
              <w:jc w:val="right"/>
              <w:rPr>
                <w:rFonts w:cstheme="minorHAnsi"/>
                <w:b/>
                <w:bCs/>
                <w:sz w:val="28"/>
                <w:szCs w:val="28"/>
                <w:lang w:val="ru-RU"/>
              </w:rPr>
            </w:pPr>
            <w:r w:rsidRPr="00962AF9">
              <w:rPr>
                <w:rFonts w:cstheme="minorHAnsi"/>
                <w:b/>
                <w:bCs/>
                <w:sz w:val="28"/>
                <w:szCs w:val="28"/>
              </w:rPr>
              <w:t>Reference material</w:t>
            </w:r>
          </w:p>
          <w:p w14:paraId="7C1FF1D9" w14:textId="50328EA8" w:rsidR="000776EB" w:rsidRPr="00E81081" w:rsidRDefault="00962AF9" w:rsidP="00E81081">
            <w:pPr>
              <w:ind w:right="560"/>
              <w:jc w:val="right"/>
              <w:rPr>
                <w:rFonts w:cstheme="minorHAnsi"/>
                <w:sz w:val="28"/>
                <w:szCs w:val="28"/>
                <w:lang w:val="ru-RU"/>
              </w:rPr>
            </w:pPr>
            <w:r>
              <w:rPr>
                <w:rFonts w:cstheme="minorHAnsi"/>
                <w:sz w:val="28"/>
                <w:szCs w:val="28"/>
                <w:lang w:val="ru-RU"/>
              </w:rPr>
              <w:t>2</w:t>
            </w:r>
            <w:r w:rsidR="00C94939">
              <w:rPr>
                <w:rFonts w:cstheme="minorHAnsi"/>
                <w:sz w:val="28"/>
                <w:szCs w:val="28"/>
                <w:lang w:val="ru-RU"/>
              </w:rPr>
              <w:t>1</w:t>
            </w:r>
            <w:r w:rsidR="000776EB" w:rsidRPr="00E81081">
              <w:rPr>
                <w:rFonts w:cstheme="minorHAnsi"/>
                <w:sz w:val="28"/>
                <w:szCs w:val="28"/>
                <w:lang w:val="ru-RU"/>
              </w:rPr>
              <w:t>.</w:t>
            </w:r>
            <w:r w:rsidR="00C94939">
              <w:rPr>
                <w:rFonts w:cstheme="minorHAnsi"/>
                <w:sz w:val="28"/>
                <w:szCs w:val="28"/>
                <w:lang w:val="ru-RU"/>
              </w:rPr>
              <w:t>03</w:t>
            </w:r>
            <w:r w:rsidR="000776EB" w:rsidRPr="00E81081">
              <w:rPr>
                <w:rFonts w:cstheme="minorHAnsi"/>
                <w:sz w:val="28"/>
                <w:szCs w:val="28"/>
                <w:lang w:val="ru-RU"/>
              </w:rPr>
              <w:t>.2</w:t>
            </w:r>
            <w:r w:rsidR="00C94939">
              <w:rPr>
                <w:rFonts w:cstheme="minorHAnsi"/>
                <w:sz w:val="28"/>
                <w:szCs w:val="28"/>
                <w:lang w:val="ru-RU"/>
              </w:rPr>
              <w:t>5</w:t>
            </w:r>
          </w:p>
        </w:tc>
      </w:tr>
    </w:tbl>
    <w:p w14:paraId="1348AC9C" w14:textId="7D6A2151" w:rsidR="00C56287" w:rsidRDefault="00C56287" w:rsidP="00924E5C">
      <w:pPr>
        <w:ind w:left="720"/>
        <w:rPr>
          <w:rFonts w:cstheme="minorHAnsi"/>
          <w:sz w:val="28"/>
          <w:szCs w:val="28"/>
          <w:lang w:val="ru-RU"/>
        </w:rPr>
      </w:pPr>
    </w:p>
    <w:p w14:paraId="21DB9EC9" w14:textId="77777777" w:rsidR="00B77376" w:rsidRDefault="00B77376" w:rsidP="00B77376">
      <w:pPr>
        <w:jc w:val="center"/>
        <w:rPr>
          <w:b/>
          <w:bCs/>
          <w:sz w:val="28"/>
          <w:szCs w:val="28"/>
        </w:rPr>
      </w:pPr>
    </w:p>
    <w:p w14:paraId="097A045B" w14:textId="77777777" w:rsidR="003D5931" w:rsidRPr="003D5931" w:rsidRDefault="003D5931" w:rsidP="003D5931">
      <w:pPr>
        <w:jc w:val="center"/>
        <w:rPr>
          <w:rFonts w:cstheme="minorHAnsi"/>
          <w:b/>
          <w:sz w:val="28"/>
          <w:szCs w:val="28"/>
        </w:rPr>
      </w:pPr>
      <w:r w:rsidRPr="003D5931">
        <w:rPr>
          <w:rFonts w:cstheme="minorHAnsi"/>
          <w:b/>
          <w:sz w:val="28"/>
          <w:szCs w:val="28"/>
          <w:highlight w:val="white"/>
        </w:rPr>
        <w:t xml:space="preserve">Comprehensive Environmental Monitoring Program for the Northern Sea Route </w:t>
      </w:r>
    </w:p>
    <w:p w14:paraId="2905DFD1" w14:textId="77777777" w:rsidR="003D5931" w:rsidRPr="003D5931" w:rsidRDefault="003D5931" w:rsidP="003D5931">
      <w:pPr>
        <w:jc w:val="both"/>
        <w:rPr>
          <w:rFonts w:cstheme="minorHAnsi"/>
        </w:rPr>
      </w:pPr>
    </w:p>
    <w:p w14:paraId="616816B6" w14:textId="77777777" w:rsidR="003D5931" w:rsidRPr="003D5931" w:rsidRDefault="003D5931" w:rsidP="003D5931">
      <w:pPr>
        <w:jc w:val="both"/>
        <w:rPr>
          <w:rFonts w:cstheme="minorHAnsi"/>
        </w:rPr>
      </w:pPr>
      <w:r w:rsidRPr="003D5931">
        <w:rPr>
          <w:rFonts w:cstheme="minorHAnsi"/>
        </w:rPr>
        <w:t xml:space="preserve">Russia considers the Arctic development as one of its priority strategic </w:t>
      </w:r>
      <w:proofErr w:type="gramStart"/>
      <w:r w:rsidRPr="003D5931">
        <w:rPr>
          <w:rFonts w:cstheme="minorHAnsi"/>
        </w:rPr>
        <w:t>task</w:t>
      </w:r>
      <w:proofErr w:type="gramEnd"/>
      <w:r w:rsidRPr="003D5931">
        <w:rPr>
          <w:rFonts w:cstheme="minorHAnsi"/>
        </w:rPr>
        <w:t>. Ensuring safe and sustainable shipping along the Northern Sea Route is of paramount importance. Rosatom, as the NSR infrastructure operator, is actively involved in this effort using a systematic approach to environmental protection in developing the Arctic and the Northern Sea Route.</w:t>
      </w:r>
    </w:p>
    <w:p w14:paraId="713C3063" w14:textId="77777777" w:rsidR="003D5931" w:rsidRPr="003D5931" w:rsidRDefault="003D5931" w:rsidP="003D5931">
      <w:pPr>
        <w:jc w:val="both"/>
        <w:rPr>
          <w:rFonts w:cstheme="minorHAnsi"/>
        </w:rPr>
      </w:pPr>
    </w:p>
    <w:p w14:paraId="2D1931DD" w14:textId="77777777" w:rsidR="003D5931" w:rsidRPr="003D5931" w:rsidRDefault="003D5931" w:rsidP="003D5931">
      <w:pPr>
        <w:jc w:val="both"/>
        <w:rPr>
          <w:rStyle w:val="h9rpj5gkjhrwbrml3kdi"/>
          <w:rFonts w:cstheme="minorHAnsi"/>
        </w:rPr>
      </w:pPr>
      <w:r w:rsidRPr="003D5931">
        <w:rPr>
          <w:rStyle w:val="h9rpj5gkjhrwbrml3kdi"/>
          <w:rFonts w:cstheme="minorHAnsi"/>
        </w:rPr>
        <w:t>Cargo shipping on a regular basis, construction of new nuclear icebreakers, and development of modern and efficient port infrastructure – all of these are required to be accompanied with continuous monitoring of the aquatic and terrestrial ecosystems of the Arctic. The most effective mechanism for collecting data on the ecosystems is through regular environmental studies using cutting-edge technology.</w:t>
      </w:r>
    </w:p>
    <w:p w14:paraId="3A9AB457" w14:textId="77777777" w:rsidR="003D5931" w:rsidRPr="003D5931" w:rsidRDefault="003D5931" w:rsidP="003D5931">
      <w:pPr>
        <w:jc w:val="both"/>
        <w:rPr>
          <w:rStyle w:val="h9rpj5gkjhrwbrml3kdi"/>
          <w:rFonts w:cstheme="minorHAnsi"/>
        </w:rPr>
      </w:pPr>
    </w:p>
    <w:p w14:paraId="5C054B44" w14:textId="77777777" w:rsidR="003D5931" w:rsidRPr="003D5931" w:rsidRDefault="003D5931" w:rsidP="003D5931">
      <w:pPr>
        <w:jc w:val="both"/>
        <w:rPr>
          <w:rStyle w:val="h9rpj5gkjhrwbrml3kdi"/>
          <w:rFonts w:cstheme="minorHAnsi"/>
        </w:rPr>
      </w:pPr>
      <w:r w:rsidRPr="003D5931">
        <w:rPr>
          <w:rStyle w:val="h9rpj5gkjhrwbrml3kdi"/>
          <w:rFonts w:cstheme="minorHAnsi"/>
          <w:b/>
        </w:rPr>
        <w:t>The comprehensive environmental monitoring program for the Northern Sea Route (hereinafter the environmental monitoring program)</w:t>
      </w:r>
      <w:r w:rsidRPr="003D5931">
        <w:rPr>
          <w:rStyle w:val="h9rpj5gkjhrwbrml3kdi"/>
          <w:rFonts w:cstheme="minorHAnsi"/>
        </w:rPr>
        <w:t xml:space="preserve"> serves as the main tool in evaluating the current environmental conditions and biodiversity in the waters of the Northern Sea Route that ensures environmental protection during the intense shipping and human activities in the Arctic region.</w:t>
      </w:r>
    </w:p>
    <w:p w14:paraId="52254B7D" w14:textId="77777777" w:rsidR="003D5931" w:rsidRPr="003D5931" w:rsidRDefault="003D5931" w:rsidP="003D5931">
      <w:pPr>
        <w:jc w:val="both"/>
        <w:rPr>
          <w:rStyle w:val="h9rpj5gkjhrwbrml3kdi"/>
          <w:rFonts w:cstheme="minorHAnsi"/>
        </w:rPr>
      </w:pPr>
    </w:p>
    <w:p w14:paraId="7BCDE7CD" w14:textId="77777777" w:rsidR="003D5931" w:rsidRPr="003D5931" w:rsidRDefault="003D5931" w:rsidP="003D5931">
      <w:pPr>
        <w:jc w:val="both"/>
        <w:rPr>
          <w:rFonts w:cstheme="minorHAnsi"/>
        </w:rPr>
      </w:pPr>
      <w:r w:rsidRPr="003D5931">
        <w:rPr>
          <w:rFonts w:cstheme="minorHAnsi"/>
        </w:rPr>
        <w:t xml:space="preserve">The </w:t>
      </w:r>
      <w:r w:rsidRPr="003D5931">
        <w:rPr>
          <w:rStyle w:val="h9rpj5gkjhrwbrml3kdi"/>
          <w:rFonts w:cstheme="minorHAnsi"/>
        </w:rPr>
        <w:t xml:space="preserve">environmental monitoring program </w:t>
      </w:r>
      <w:r w:rsidRPr="003D5931">
        <w:rPr>
          <w:rFonts w:cstheme="minorHAnsi"/>
        </w:rPr>
        <w:t xml:space="preserve">was initiated by Rosatom and </w:t>
      </w:r>
      <w:r w:rsidRPr="003D5931">
        <w:rPr>
          <w:rStyle w:val="h9rpj5gkjhrwbrml3kdi"/>
          <w:rFonts w:cstheme="minorHAnsi"/>
        </w:rPr>
        <w:t>started</w:t>
      </w:r>
      <w:r w:rsidRPr="003D5931">
        <w:rPr>
          <w:rFonts w:cstheme="minorHAnsi"/>
        </w:rPr>
        <w:t xml:space="preserve"> in 2021. The monitoring is carried out by the Marine Research Center of Moscow State University with the </w:t>
      </w:r>
      <w:r w:rsidRPr="003D5931">
        <w:rPr>
          <w:rStyle w:val="h9rpj5gkjhrwbrml3kdi"/>
          <w:rFonts w:cstheme="minorHAnsi"/>
        </w:rPr>
        <w:t>involvement</w:t>
      </w:r>
      <w:r w:rsidRPr="003D5931">
        <w:rPr>
          <w:rFonts w:cstheme="minorHAnsi"/>
        </w:rPr>
        <w:t xml:space="preserve"> of international </w:t>
      </w:r>
      <w:r w:rsidRPr="003D5931">
        <w:rPr>
          <w:rStyle w:val="h9rpj5gkjhrwbrml3kdi"/>
          <w:rFonts w:cstheme="minorHAnsi"/>
        </w:rPr>
        <w:t>experts</w:t>
      </w:r>
      <w:r w:rsidRPr="003D5931">
        <w:rPr>
          <w:rFonts w:cstheme="minorHAnsi"/>
        </w:rPr>
        <w:t xml:space="preserve"> from </w:t>
      </w:r>
      <w:r w:rsidRPr="003D5931">
        <w:rPr>
          <w:rStyle w:val="h9rpj5gkjhrwbrml3kdi"/>
          <w:rFonts w:cstheme="minorHAnsi"/>
        </w:rPr>
        <w:t>prominent</w:t>
      </w:r>
      <w:r w:rsidRPr="003D5931">
        <w:rPr>
          <w:rFonts w:cstheme="minorHAnsi"/>
        </w:rPr>
        <w:t xml:space="preserve"> research </w:t>
      </w:r>
      <w:r w:rsidRPr="003D5931">
        <w:rPr>
          <w:rStyle w:val="h9rpj5gkjhrwbrml3kdi"/>
          <w:rFonts w:cstheme="minorHAnsi"/>
        </w:rPr>
        <w:t>institutes</w:t>
      </w:r>
      <w:r w:rsidRPr="003D5931">
        <w:rPr>
          <w:rFonts w:cstheme="minorHAnsi"/>
        </w:rPr>
        <w:t xml:space="preserve"> of Russia, China, India, Turkey, Egypt, Malaysia, Brazil, etc.</w:t>
      </w:r>
    </w:p>
    <w:p w14:paraId="2542AB2B" w14:textId="77777777" w:rsidR="003D5931" w:rsidRPr="003D5931" w:rsidRDefault="003D5931" w:rsidP="003D5931">
      <w:pPr>
        <w:jc w:val="both"/>
        <w:rPr>
          <w:rFonts w:cstheme="minorHAnsi"/>
        </w:rPr>
      </w:pPr>
    </w:p>
    <w:p w14:paraId="09AD68AA" w14:textId="77777777" w:rsidR="003D5931" w:rsidRPr="003D5931" w:rsidRDefault="003D5931" w:rsidP="003D5931">
      <w:pPr>
        <w:jc w:val="both"/>
        <w:rPr>
          <w:rFonts w:cstheme="minorHAnsi"/>
        </w:rPr>
      </w:pPr>
      <w:r w:rsidRPr="003D5931">
        <w:rPr>
          <w:rFonts w:cstheme="minorHAnsi"/>
        </w:rPr>
        <w:t xml:space="preserve">The environmental </w:t>
      </w:r>
      <w:r w:rsidRPr="003D5931">
        <w:rPr>
          <w:rStyle w:val="h9rpj5gkjhrwbrml3kdi"/>
          <w:rFonts w:cstheme="minorHAnsi"/>
        </w:rPr>
        <w:t>monitoring</w:t>
      </w:r>
      <w:r w:rsidRPr="003D5931">
        <w:rPr>
          <w:rFonts w:cstheme="minorHAnsi"/>
        </w:rPr>
        <w:t xml:space="preserve"> program complies with the </w:t>
      </w:r>
      <w:r w:rsidRPr="003D5931">
        <w:rPr>
          <w:rStyle w:val="h9rpj5gkjhrwbrml3kdi"/>
          <w:rFonts w:cstheme="minorHAnsi"/>
        </w:rPr>
        <w:t>best</w:t>
      </w:r>
      <w:r w:rsidRPr="003D5931">
        <w:rPr>
          <w:rFonts w:cstheme="minorHAnsi"/>
        </w:rPr>
        <w:t xml:space="preserve"> Russian and international practices, as well as the </w:t>
      </w:r>
      <w:r w:rsidRPr="003D5931">
        <w:rPr>
          <w:rStyle w:val="h9rpj5gkjhrwbrml3kdi"/>
          <w:rFonts w:cstheme="minorHAnsi"/>
        </w:rPr>
        <w:t>Arctic Council's guidelines</w:t>
      </w:r>
      <w:r w:rsidRPr="003D5931">
        <w:rPr>
          <w:rFonts w:cstheme="minorHAnsi"/>
        </w:rPr>
        <w:t xml:space="preserve"> for monitoring and </w:t>
      </w:r>
      <w:r w:rsidRPr="003D5931">
        <w:rPr>
          <w:rStyle w:val="h9rpj5gkjhrwbrml3kdi"/>
          <w:rFonts w:cstheme="minorHAnsi"/>
        </w:rPr>
        <w:t>evaluating</w:t>
      </w:r>
      <w:r w:rsidRPr="003D5931">
        <w:rPr>
          <w:rFonts w:cstheme="minorHAnsi"/>
        </w:rPr>
        <w:t xml:space="preserve"> the environment in the Arctic.</w:t>
      </w:r>
    </w:p>
    <w:p w14:paraId="5C9505A4" w14:textId="77777777" w:rsidR="003D5931" w:rsidRPr="003D5931" w:rsidRDefault="003D5931" w:rsidP="003D5931">
      <w:pPr>
        <w:jc w:val="both"/>
        <w:rPr>
          <w:rFonts w:cstheme="minorHAnsi"/>
        </w:rPr>
      </w:pPr>
    </w:p>
    <w:p w14:paraId="5C065425" w14:textId="77777777" w:rsidR="003D5931" w:rsidRPr="003D5931" w:rsidRDefault="003D5931" w:rsidP="003D5931">
      <w:pPr>
        <w:jc w:val="both"/>
        <w:rPr>
          <w:rFonts w:cstheme="minorHAnsi"/>
        </w:rPr>
      </w:pPr>
      <w:r w:rsidRPr="003D5931">
        <w:rPr>
          <w:rFonts w:cstheme="minorHAnsi"/>
        </w:rPr>
        <w:t>The expert community gave a high opinion of the environmental monitoring program which has been presented at major international events, including Arctic Frontiers, World Conference on Marine Biodiversity (Malaysia), the International Symposium on the Okhotsk Sea and Polar Oceans (Japan), COP 28 and COP 29, St. Petersburg International Economic Forum, International Arctic Forum and Eastern Economic Forum.</w:t>
      </w:r>
    </w:p>
    <w:p w14:paraId="79D6FB09" w14:textId="77777777" w:rsidR="003D5931" w:rsidRPr="003D5931" w:rsidRDefault="003D5931" w:rsidP="003D5931">
      <w:pPr>
        <w:jc w:val="both"/>
        <w:rPr>
          <w:rFonts w:cstheme="minorHAnsi"/>
        </w:rPr>
      </w:pPr>
    </w:p>
    <w:p w14:paraId="4769822E" w14:textId="77777777" w:rsidR="003D5931" w:rsidRPr="003D5931" w:rsidRDefault="003D5931" w:rsidP="003D5931">
      <w:pPr>
        <w:jc w:val="both"/>
        <w:rPr>
          <w:rStyle w:val="h9rpj5gkjhrwbrml3kdi"/>
          <w:rFonts w:cstheme="minorHAnsi"/>
        </w:rPr>
      </w:pPr>
      <w:r w:rsidRPr="003D5931">
        <w:rPr>
          <w:rStyle w:val="h9rpj5gkjhrwbrml3kdi"/>
          <w:rFonts w:cstheme="minorHAnsi"/>
        </w:rPr>
        <w:t>The fundamental requirement for the sustainable development of maritime transportation along the NSR is its compliance with global environmental standards and best environmental practices. The Center for Environmental Monitoring at Moscow State University has organized an international expert team that is responsible for evaluating this and developing recommendations for improving the evaluation methods under the NSR environmental monitoring program.</w:t>
      </w:r>
    </w:p>
    <w:p w14:paraId="35B3E691" w14:textId="77777777" w:rsidR="003D5931" w:rsidRPr="003D5931" w:rsidRDefault="003D5931" w:rsidP="003D5931">
      <w:pPr>
        <w:jc w:val="both"/>
        <w:rPr>
          <w:rStyle w:val="h9rpj5gkjhrwbrml3kdi"/>
          <w:rFonts w:cstheme="minorHAnsi"/>
        </w:rPr>
      </w:pPr>
    </w:p>
    <w:p w14:paraId="51A129EF" w14:textId="77777777" w:rsidR="003D5931" w:rsidRPr="003D5931" w:rsidRDefault="003D5931" w:rsidP="003D5931">
      <w:pPr>
        <w:jc w:val="both"/>
        <w:rPr>
          <w:rFonts w:cstheme="minorHAnsi"/>
        </w:rPr>
      </w:pPr>
      <w:r w:rsidRPr="003D5931">
        <w:rPr>
          <w:rFonts w:cstheme="minorHAnsi"/>
        </w:rPr>
        <w:t xml:space="preserve">The international expert group includes </w:t>
      </w:r>
      <w:r w:rsidRPr="003D5931">
        <w:rPr>
          <w:rStyle w:val="h9rpj5gkjhrwbrml3kdi"/>
          <w:rFonts w:cstheme="minorHAnsi"/>
        </w:rPr>
        <w:t>specialists</w:t>
      </w:r>
      <w:r w:rsidRPr="003D5931">
        <w:rPr>
          <w:rFonts w:cstheme="minorHAnsi"/>
        </w:rPr>
        <w:t xml:space="preserve"> from </w:t>
      </w:r>
      <w:r w:rsidRPr="003D5931">
        <w:rPr>
          <w:rStyle w:val="h9rpj5gkjhrwbrml3kdi"/>
          <w:rFonts w:cstheme="minorHAnsi"/>
        </w:rPr>
        <w:t>more than</w:t>
      </w:r>
      <w:r w:rsidRPr="003D5931">
        <w:rPr>
          <w:rFonts w:cstheme="minorHAnsi"/>
        </w:rPr>
        <w:t xml:space="preserve"> 18 </w:t>
      </w:r>
      <w:r w:rsidRPr="003D5931">
        <w:rPr>
          <w:rStyle w:val="h9rpj5gkjhrwbrml3kdi"/>
          <w:rFonts w:cstheme="minorHAnsi"/>
        </w:rPr>
        <w:t>prominent</w:t>
      </w:r>
      <w:r w:rsidRPr="003D5931">
        <w:rPr>
          <w:rFonts w:cstheme="minorHAnsi"/>
        </w:rPr>
        <w:t xml:space="preserve"> Russian and international organizations </w:t>
      </w:r>
      <w:r w:rsidRPr="003D5931">
        <w:rPr>
          <w:rStyle w:val="h9rpj5gkjhrwbrml3kdi"/>
          <w:rFonts w:cstheme="minorHAnsi"/>
        </w:rPr>
        <w:t>focused on</w:t>
      </w:r>
      <w:r w:rsidRPr="003D5931">
        <w:rPr>
          <w:rFonts w:cstheme="minorHAnsi"/>
        </w:rPr>
        <w:t xml:space="preserve"> environmental protection and biodiversity conservation.</w:t>
      </w:r>
    </w:p>
    <w:p w14:paraId="2ED286D3" w14:textId="77777777" w:rsidR="003D5931" w:rsidRPr="003D5931" w:rsidRDefault="003D5931" w:rsidP="003D5931">
      <w:pPr>
        <w:jc w:val="both"/>
        <w:rPr>
          <w:rStyle w:val="h9rpj5gkjhrwbrml3kdi"/>
          <w:rFonts w:cstheme="minorHAnsi"/>
        </w:rPr>
      </w:pPr>
    </w:p>
    <w:p w14:paraId="5D8B0DB0" w14:textId="77777777" w:rsidR="003D5931" w:rsidRPr="003D5931" w:rsidRDefault="003D5931" w:rsidP="003D5931">
      <w:pPr>
        <w:jc w:val="both"/>
        <w:rPr>
          <w:rStyle w:val="h9rpj5gkjhrwbrml3kdi"/>
          <w:rFonts w:cstheme="minorHAnsi"/>
        </w:rPr>
      </w:pPr>
      <w:r w:rsidRPr="003D5931">
        <w:rPr>
          <w:rStyle w:val="h9rpj5gkjhrwbrml3kdi"/>
          <w:rFonts w:cstheme="minorHAnsi"/>
        </w:rPr>
        <w:lastRenderedPageBreak/>
        <w:t>The environmental monitoring program includes the analysis of air quality, marine water, and sediment, with special attention paid to marine mammals and birds.</w:t>
      </w:r>
    </w:p>
    <w:p w14:paraId="3A990C41" w14:textId="77777777" w:rsidR="003D5931" w:rsidRPr="003D5931" w:rsidRDefault="003D5931" w:rsidP="003D5931">
      <w:pPr>
        <w:jc w:val="both"/>
        <w:rPr>
          <w:rStyle w:val="h9rpj5gkjhrwbrml3kdi"/>
          <w:rFonts w:cstheme="minorHAnsi"/>
        </w:rPr>
      </w:pPr>
    </w:p>
    <w:p w14:paraId="1C77E1FF" w14:textId="77777777" w:rsidR="003D5931" w:rsidRPr="003D5931" w:rsidRDefault="003D5931" w:rsidP="003D5931">
      <w:pPr>
        <w:jc w:val="both"/>
        <w:rPr>
          <w:rFonts w:cstheme="minorHAnsi"/>
        </w:rPr>
      </w:pPr>
      <w:r w:rsidRPr="003D5931">
        <w:rPr>
          <w:rFonts w:cstheme="minorHAnsi"/>
        </w:rPr>
        <w:t xml:space="preserve">The experts studied 100 air samples, 400 seawater samples, and around 130 samples of sediment from the seafloor. The hydrobiologists analyzed more than 1,200 plankton samples, including bacterioplankton, phytoplankton, zooplankton, and ichthyoplankton, as well as approximately 600 benthic samples, including macro-benthic, meiobenthic, and </w:t>
      </w:r>
      <w:proofErr w:type="spellStart"/>
      <w:r w:rsidRPr="003D5931">
        <w:rPr>
          <w:rFonts w:cstheme="minorHAnsi"/>
        </w:rPr>
        <w:t>microphyto</w:t>
      </w:r>
      <w:proofErr w:type="spellEnd"/>
      <w:r w:rsidRPr="003D5931">
        <w:rPr>
          <w:rFonts w:cstheme="minorHAnsi"/>
        </w:rPr>
        <w:t>-benthic samples.</w:t>
      </w:r>
    </w:p>
    <w:p w14:paraId="3E25B8F2" w14:textId="77777777" w:rsidR="003D5931" w:rsidRPr="003D5931" w:rsidRDefault="003D5931" w:rsidP="003D5931">
      <w:pPr>
        <w:jc w:val="both"/>
        <w:rPr>
          <w:rFonts w:cstheme="minorHAnsi"/>
        </w:rPr>
      </w:pPr>
    </w:p>
    <w:p w14:paraId="4834F66D" w14:textId="77777777" w:rsidR="003D5931" w:rsidRPr="003D5931" w:rsidRDefault="003D5931" w:rsidP="003D5931">
      <w:pPr>
        <w:jc w:val="both"/>
        <w:rPr>
          <w:rFonts w:cstheme="minorHAnsi"/>
        </w:rPr>
      </w:pPr>
      <w:r w:rsidRPr="003D5931">
        <w:rPr>
          <w:rFonts w:cstheme="minorHAnsi"/>
        </w:rPr>
        <w:t>According to the studies, the concentration of substances in the atmospheric air, seawater, and sediments is within acceptable limits, which indicates the environmental safety of economic activity and shipping in the Arctic region.</w:t>
      </w:r>
    </w:p>
    <w:p w14:paraId="32DE9D9F" w14:textId="77777777" w:rsidR="003D5931" w:rsidRPr="003D5931" w:rsidRDefault="003D5931" w:rsidP="003D5931">
      <w:pPr>
        <w:jc w:val="both"/>
        <w:rPr>
          <w:rFonts w:cstheme="minorHAnsi"/>
        </w:rPr>
      </w:pPr>
    </w:p>
    <w:p w14:paraId="2151B76D" w14:textId="77777777" w:rsidR="003D5931" w:rsidRPr="003D5931" w:rsidRDefault="003D5931" w:rsidP="003D5931">
      <w:pPr>
        <w:jc w:val="both"/>
        <w:rPr>
          <w:rFonts w:cstheme="minorHAnsi"/>
        </w:rPr>
      </w:pPr>
      <w:r w:rsidRPr="003D5931">
        <w:rPr>
          <w:rFonts w:cstheme="minorHAnsi"/>
        </w:rPr>
        <w:t xml:space="preserve">The environmental monitoring </w:t>
      </w:r>
      <w:r w:rsidRPr="003D5931">
        <w:rPr>
          <w:rStyle w:val="h9rpj5gkjhrwbrml3kdi"/>
          <w:rFonts w:cstheme="minorHAnsi"/>
        </w:rPr>
        <w:t>program serves as</w:t>
      </w:r>
      <w:r w:rsidRPr="003D5931">
        <w:rPr>
          <w:rFonts w:cstheme="minorHAnsi"/>
        </w:rPr>
        <w:t xml:space="preserve"> a </w:t>
      </w:r>
      <w:r w:rsidRPr="003D5931">
        <w:rPr>
          <w:rStyle w:val="h9rpj5gkjhrwbrml3kdi"/>
          <w:rFonts w:cstheme="minorHAnsi"/>
        </w:rPr>
        <w:t>robust basis</w:t>
      </w:r>
      <w:r w:rsidRPr="003D5931">
        <w:rPr>
          <w:rFonts w:cstheme="minorHAnsi"/>
        </w:rPr>
        <w:t xml:space="preserve"> for </w:t>
      </w:r>
      <w:r w:rsidRPr="003D5931">
        <w:rPr>
          <w:rStyle w:val="h9rpj5gkjhrwbrml3kdi"/>
          <w:rFonts w:cstheme="minorHAnsi"/>
        </w:rPr>
        <w:t>developing</w:t>
      </w:r>
      <w:r w:rsidRPr="003D5931">
        <w:rPr>
          <w:rFonts w:cstheme="minorHAnsi"/>
        </w:rPr>
        <w:t xml:space="preserve"> a comprehensive guide to environmentally </w:t>
      </w:r>
      <w:r w:rsidRPr="003D5931">
        <w:rPr>
          <w:rStyle w:val="h9rpj5gkjhrwbrml3kdi"/>
          <w:rFonts w:cstheme="minorHAnsi"/>
        </w:rPr>
        <w:t>responsible</w:t>
      </w:r>
      <w:r w:rsidRPr="003D5931">
        <w:rPr>
          <w:rFonts w:cstheme="minorHAnsi"/>
        </w:rPr>
        <w:t xml:space="preserve"> shipping along </w:t>
      </w:r>
      <w:r w:rsidRPr="003D5931">
        <w:rPr>
          <w:rStyle w:val="h9rpj5gkjhrwbrml3kdi"/>
          <w:rFonts w:cstheme="minorHAnsi"/>
        </w:rPr>
        <w:t>the Northern Sea Route</w:t>
      </w:r>
      <w:r w:rsidRPr="003D5931">
        <w:rPr>
          <w:rFonts w:cstheme="minorHAnsi"/>
        </w:rPr>
        <w:t xml:space="preserve">. </w:t>
      </w:r>
      <w:r w:rsidRPr="003D5931">
        <w:rPr>
          <w:rStyle w:val="h9rpj5gkjhrwbrml3kdi"/>
          <w:rFonts w:cstheme="minorHAnsi"/>
        </w:rPr>
        <w:t>This guide</w:t>
      </w:r>
      <w:r w:rsidRPr="003D5931">
        <w:rPr>
          <w:rFonts w:cstheme="minorHAnsi"/>
        </w:rPr>
        <w:t xml:space="preserve"> will </w:t>
      </w:r>
      <w:r w:rsidRPr="003D5931">
        <w:rPr>
          <w:rStyle w:val="h9rpj5gkjhrwbrml3kdi"/>
          <w:rFonts w:cstheme="minorHAnsi"/>
        </w:rPr>
        <w:t>include strategies</w:t>
      </w:r>
      <w:r w:rsidRPr="003D5931">
        <w:rPr>
          <w:rFonts w:cstheme="minorHAnsi"/>
        </w:rPr>
        <w:t xml:space="preserve"> to </w:t>
      </w:r>
      <w:r w:rsidRPr="003D5931">
        <w:rPr>
          <w:rStyle w:val="h9rpj5gkjhrwbrml3kdi"/>
          <w:rFonts w:cstheme="minorHAnsi"/>
        </w:rPr>
        <w:t>protect the environment</w:t>
      </w:r>
      <w:r w:rsidRPr="003D5931">
        <w:rPr>
          <w:rFonts w:cstheme="minorHAnsi"/>
        </w:rPr>
        <w:t xml:space="preserve"> and </w:t>
      </w:r>
      <w:r w:rsidRPr="003D5931">
        <w:rPr>
          <w:rStyle w:val="h9rpj5gkjhrwbrml3kdi"/>
          <w:rFonts w:cstheme="minorHAnsi"/>
        </w:rPr>
        <w:t>promote sustainable practices</w:t>
      </w:r>
      <w:r w:rsidRPr="003D5931">
        <w:rPr>
          <w:rFonts w:cstheme="minorHAnsi"/>
        </w:rPr>
        <w:t xml:space="preserve">, </w:t>
      </w:r>
      <w:r w:rsidRPr="003D5931">
        <w:rPr>
          <w:rStyle w:val="h9rpj5gkjhrwbrml3kdi"/>
          <w:rFonts w:cstheme="minorHAnsi"/>
        </w:rPr>
        <w:t>enhance</w:t>
      </w:r>
      <w:r w:rsidRPr="003D5931">
        <w:rPr>
          <w:rFonts w:cstheme="minorHAnsi"/>
        </w:rPr>
        <w:t xml:space="preserve"> transparency in economic </w:t>
      </w:r>
      <w:r w:rsidRPr="003D5931">
        <w:rPr>
          <w:rStyle w:val="h9rpj5gkjhrwbrml3kdi"/>
          <w:rFonts w:cstheme="minorHAnsi"/>
        </w:rPr>
        <w:t>operations</w:t>
      </w:r>
      <w:r w:rsidRPr="003D5931">
        <w:rPr>
          <w:rFonts w:cstheme="minorHAnsi"/>
        </w:rPr>
        <w:t xml:space="preserve">, </w:t>
      </w:r>
      <w:r w:rsidRPr="003D5931">
        <w:rPr>
          <w:rStyle w:val="h9rpj5gkjhrwbrml3kdi"/>
          <w:rFonts w:cstheme="minorHAnsi"/>
        </w:rPr>
        <w:t>consider</w:t>
      </w:r>
      <w:r w:rsidRPr="003D5931">
        <w:rPr>
          <w:rFonts w:cstheme="minorHAnsi"/>
        </w:rPr>
        <w:t xml:space="preserve"> the interests of the indigenous peoples of the North, </w:t>
      </w:r>
      <w:r w:rsidRPr="003D5931">
        <w:rPr>
          <w:rStyle w:val="h9rpj5gkjhrwbrml3kdi"/>
          <w:rFonts w:cstheme="minorHAnsi"/>
        </w:rPr>
        <w:t>maintain high</w:t>
      </w:r>
      <w:r w:rsidRPr="003D5931">
        <w:rPr>
          <w:rFonts w:cstheme="minorHAnsi"/>
        </w:rPr>
        <w:t xml:space="preserve"> public </w:t>
      </w:r>
      <w:r w:rsidRPr="003D5931">
        <w:rPr>
          <w:rStyle w:val="h9rpj5gkjhrwbrml3kdi"/>
          <w:rFonts w:cstheme="minorHAnsi"/>
        </w:rPr>
        <w:t>confidence,</w:t>
      </w:r>
      <w:r w:rsidRPr="003D5931">
        <w:rPr>
          <w:rFonts w:cstheme="minorHAnsi"/>
        </w:rPr>
        <w:t xml:space="preserve"> and attract investors and partners for the development of the Arctic region. </w:t>
      </w:r>
      <w:r w:rsidRPr="003D5931">
        <w:rPr>
          <w:rStyle w:val="h9rpj5gkjhrwbrml3kdi"/>
          <w:rFonts w:cstheme="minorHAnsi"/>
        </w:rPr>
        <w:t>Additionally, efforts will continue to refine</w:t>
      </w:r>
      <w:r w:rsidRPr="003D5931">
        <w:rPr>
          <w:rFonts w:cstheme="minorHAnsi"/>
        </w:rPr>
        <w:t xml:space="preserve"> the comprehensive monitoring program and develop approaches and </w:t>
      </w:r>
      <w:r w:rsidRPr="003D5931">
        <w:rPr>
          <w:rStyle w:val="h9rpj5gkjhrwbrml3kdi"/>
          <w:rFonts w:cstheme="minorHAnsi"/>
        </w:rPr>
        <w:t>techniques</w:t>
      </w:r>
      <w:r w:rsidRPr="003D5931">
        <w:rPr>
          <w:rFonts w:cstheme="minorHAnsi"/>
        </w:rPr>
        <w:t xml:space="preserve"> for information support </w:t>
      </w:r>
      <w:r w:rsidRPr="003D5931">
        <w:rPr>
          <w:rStyle w:val="h9rpj5gkjhrwbrml3kdi"/>
          <w:rFonts w:cstheme="minorHAnsi"/>
        </w:rPr>
        <w:t>for</w:t>
      </w:r>
      <w:r w:rsidRPr="003D5931">
        <w:rPr>
          <w:rFonts w:cstheme="minorHAnsi"/>
        </w:rPr>
        <w:t xml:space="preserve"> the </w:t>
      </w:r>
      <w:r w:rsidRPr="003D5931">
        <w:rPr>
          <w:rStyle w:val="h9rpj5gkjhrwbrml3kdi"/>
          <w:rFonts w:cstheme="minorHAnsi"/>
        </w:rPr>
        <w:t>NSR</w:t>
      </w:r>
      <w:r w:rsidRPr="003D5931">
        <w:rPr>
          <w:rFonts w:cstheme="minorHAnsi"/>
        </w:rPr>
        <w:t xml:space="preserve"> environmental protection and safety activities.</w:t>
      </w:r>
    </w:p>
    <w:p w14:paraId="56F6A232" w14:textId="77777777" w:rsidR="003D5931" w:rsidRPr="003D5931" w:rsidRDefault="003D5931" w:rsidP="003D5931">
      <w:pPr>
        <w:jc w:val="both"/>
        <w:rPr>
          <w:rFonts w:cstheme="minorHAnsi"/>
        </w:rPr>
      </w:pPr>
    </w:p>
    <w:p w14:paraId="4EB92A96" w14:textId="77777777" w:rsidR="003D5931" w:rsidRPr="003D5931" w:rsidRDefault="003D5931" w:rsidP="003D5931">
      <w:pPr>
        <w:jc w:val="both"/>
        <w:rPr>
          <w:rFonts w:cstheme="minorHAnsi"/>
        </w:rPr>
      </w:pPr>
    </w:p>
    <w:p w14:paraId="68117B6C" w14:textId="77777777" w:rsidR="000776EB" w:rsidRPr="003D5931" w:rsidRDefault="000776EB" w:rsidP="003D5931">
      <w:pPr>
        <w:jc w:val="center"/>
        <w:rPr>
          <w:rFonts w:cstheme="minorHAnsi"/>
        </w:rPr>
      </w:pPr>
    </w:p>
    <w:sectPr w:rsidR="000776EB" w:rsidRPr="003D5931"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4B62" w14:textId="77777777" w:rsidR="00672957" w:rsidRDefault="00672957" w:rsidP="00C56287">
      <w:r>
        <w:separator/>
      </w:r>
    </w:p>
  </w:endnote>
  <w:endnote w:type="continuationSeparator" w:id="0">
    <w:p w14:paraId="7887A3CE" w14:textId="77777777" w:rsidR="00672957" w:rsidRDefault="00672957"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665F8" w14:textId="77777777" w:rsidR="00672957" w:rsidRDefault="00672957" w:rsidP="00C56287">
      <w:r>
        <w:separator/>
      </w:r>
    </w:p>
  </w:footnote>
  <w:footnote w:type="continuationSeparator" w:id="0">
    <w:p w14:paraId="3376FC1F" w14:textId="77777777" w:rsidR="00672957" w:rsidRDefault="00672957" w:rsidP="00C5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5D2D"/>
    <w:multiLevelType w:val="multilevel"/>
    <w:tmpl w:val="8D9CF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0CE5300"/>
    <w:multiLevelType w:val="hybridMultilevel"/>
    <w:tmpl w:val="6E228572"/>
    <w:lvl w:ilvl="0" w:tplc="31ACE2B8">
      <w:start w:val="1"/>
      <w:numFmt w:val="bullet"/>
      <w:lvlText w:val=""/>
      <w:lvlJc w:val="left"/>
      <w:pPr>
        <w:ind w:left="720" w:hanging="360"/>
      </w:pPr>
      <w:rPr>
        <w:rFonts w:ascii="Symbol" w:hAnsi="Symbol" w:hint="default"/>
      </w:rPr>
    </w:lvl>
    <w:lvl w:ilvl="1" w:tplc="4D4E0E7C" w:tentative="1">
      <w:start w:val="1"/>
      <w:numFmt w:val="bullet"/>
      <w:lvlText w:val="o"/>
      <w:lvlJc w:val="left"/>
      <w:pPr>
        <w:ind w:left="1440" w:hanging="360"/>
      </w:pPr>
      <w:rPr>
        <w:rFonts w:ascii="Courier New" w:hAnsi="Courier New" w:cs="Courier New" w:hint="default"/>
      </w:rPr>
    </w:lvl>
    <w:lvl w:ilvl="2" w:tplc="EDF8E31A" w:tentative="1">
      <w:start w:val="1"/>
      <w:numFmt w:val="bullet"/>
      <w:lvlText w:val=""/>
      <w:lvlJc w:val="left"/>
      <w:pPr>
        <w:ind w:left="2160" w:hanging="360"/>
      </w:pPr>
      <w:rPr>
        <w:rFonts w:ascii="Wingdings" w:hAnsi="Wingdings" w:hint="default"/>
      </w:rPr>
    </w:lvl>
    <w:lvl w:ilvl="3" w:tplc="05665E80" w:tentative="1">
      <w:start w:val="1"/>
      <w:numFmt w:val="bullet"/>
      <w:lvlText w:val=""/>
      <w:lvlJc w:val="left"/>
      <w:pPr>
        <w:ind w:left="2880" w:hanging="360"/>
      </w:pPr>
      <w:rPr>
        <w:rFonts w:ascii="Symbol" w:hAnsi="Symbol" w:hint="default"/>
      </w:rPr>
    </w:lvl>
    <w:lvl w:ilvl="4" w:tplc="BF0492EE" w:tentative="1">
      <w:start w:val="1"/>
      <w:numFmt w:val="bullet"/>
      <w:lvlText w:val="o"/>
      <w:lvlJc w:val="left"/>
      <w:pPr>
        <w:ind w:left="3600" w:hanging="360"/>
      </w:pPr>
      <w:rPr>
        <w:rFonts w:ascii="Courier New" w:hAnsi="Courier New" w:cs="Courier New" w:hint="default"/>
      </w:rPr>
    </w:lvl>
    <w:lvl w:ilvl="5" w:tplc="472A87EC" w:tentative="1">
      <w:start w:val="1"/>
      <w:numFmt w:val="bullet"/>
      <w:lvlText w:val=""/>
      <w:lvlJc w:val="left"/>
      <w:pPr>
        <w:ind w:left="4320" w:hanging="360"/>
      </w:pPr>
      <w:rPr>
        <w:rFonts w:ascii="Wingdings" w:hAnsi="Wingdings" w:hint="default"/>
      </w:rPr>
    </w:lvl>
    <w:lvl w:ilvl="6" w:tplc="029A17A2" w:tentative="1">
      <w:start w:val="1"/>
      <w:numFmt w:val="bullet"/>
      <w:lvlText w:val=""/>
      <w:lvlJc w:val="left"/>
      <w:pPr>
        <w:ind w:left="5040" w:hanging="360"/>
      </w:pPr>
      <w:rPr>
        <w:rFonts w:ascii="Symbol" w:hAnsi="Symbol" w:hint="default"/>
      </w:rPr>
    </w:lvl>
    <w:lvl w:ilvl="7" w:tplc="E8361FF2" w:tentative="1">
      <w:start w:val="1"/>
      <w:numFmt w:val="bullet"/>
      <w:lvlText w:val="o"/>
      <w:lvlJc w:val="left"/>
      <w:pPr>
        <w:ind w:left="5760" w:hanging="360"/>
      </w:pPr>
      <w:rPr>
        <w:rFonts w:ascii="Courier New" w:hAnsi="Courier New" w:cs="Courier New" w:hint="default"/>
      </w:rPr>
    </w:lvl>
    <w:lvl w:ilvl="8" w:tplc="E3862D1C" w:tentative="1">
      <w:start w:val="1"/>
      <w:numFmt w:val="bullet"/>
      <w:lvlText w:val=""/>
      <w:lvlJc w:val="left"/>
      <w:pPr>
        <w:ind w:left="6480" w:hanging="360"/>
      </w:pPr>
      <w:rPr>
        <w:rFonts w:ascii="Wingdings" w:hAnsi="Wingdings" w:hint="default"/>
      </w:rPr>
    </w:lvl>
  </w:abstractNum>
  <w:abstractNum w:abstractNumId="2" w15:restartNumberingAfterBreak="0">
    <w:nsid w:val="32EA7A78"/>
    <w:multiLevelType w:val="hybridMultilevel"/>
    <w:tmpl w:val="8118D55C"/>
    <w:lvl w:ilvl="0" w:tplc="16F05D4C">
      <w:start w:val="5"/>
      <w:numFmt w:val="decimal"/>
      <w:lvlText w:val="%1."/>
      <w:lvlJc w:val="left"/>
      <w:pPr>
        <w:ind w:left="720" w:hanging="360"/>
      </w:pPr>
      <w:rPr>
        <w:rFonts w:hint="default"/>
      </w:rPr>
    </w:lvl>
    <w:lvl w:ilvl="1" w:tplc="B3403A62" w:tentative="1">
      <w:start w:val="1"/>
      <w:numFmt w:val="lowerLetter"/>
      <w:lvlText w:val="%2."/>
      <w:lvlJc w:val="left"/>
      <w:pPr>
        <w:ind w:left="1440" w:hanging="360"/>
      </w:pPr>
    </w:lvl>
    <w:lvl w:ilvl="2" w:tplc="33AE27C0" w:tentative="1">
      <w:start w:val="1"/>
      <w:numFmt w:val="lowerRoman"/>
      <w:lvlText w:val="%3."/>
      <w:lvlJc w:val="right"/>
      <w:pPr>
        <w:ind w:left="2160" w:hanging="180"/>
      </w:pPr>
    </w:lvl>
    <w:lvl w:ilvl="3" w:tplc="5B00A316" w:tentative="1">
      <w:start w:val="1"/>
      <w:numFmt w:val="decimal"/>
      <w:lvlText w:val="%4."/>
      <w:lvlJc w:val="left"/>
      <w:pPr>
        <w:ind w:left="2880" w:hanging="360"/>
      </w:pPr>
    </w:lvl>
    <w:lvl w:ilvl="4" w:tplc="F11435CE" w:tentative="1">
      <w:start w:val="1"/>
      <w:numFmt w:val="lowerLetter"/>
      <w:lvlText w:val="%5."/>
      <w:lvlJc w:val="left"/>
      <w:pPr>
        <w:ind w:left="3600" w:hanging="360"/>
      </w:pPr>
    </w:lvl>
    <w:lvl w:ilvl="5" w:tplc="7EDE8E4C" w:tentative="1">
      <w:start w:val="1"/>
      <w:numFmt w:val="lowerRoman"/>
      <w:lvlText w:val="%6."/>
      <w:lvlJc w:val="right"/>
      <w:pPr>
        <w:ind w:left="4320" w:hanging="180"/>
      </w:pPr>
    </w:lvl>
    <w:lvl w:ilvl="6" w:tplc="73226186" w:tentative="1">
      <w:start w:val="1"/>
      <w:numFmt w:val="decimal"/>
      <w:lvlText w:val="%7."/>
      <w:lvlJc w:val="left"/>
      <w:pPr>
        <w:ind w:left="5040" w:hanging="360"/>
      </w:pPr>
    </w:lvl>
    <w:lvl w:ilvl="7" w:tplc="C61228BE" w:tentative="1">
      <w:start w:val="1"/>
      <w:numFmt w:val="lowerLetter"/>
      <w:lvlText w:val="%8."/>
      <w:lvlJc w:val="left"/>
      <w:pPr>
        <w:ind w:left="5760" w:hanging="360"/>
      </w:pPr>
    </w:lvl>
    <w:lvl w:ilvl="8" w:tplc="5636DC8C" w:tentative="1">
      <w:start w:val="1"/>
      <w:numFmt w:val="lowerRoman"/>
      <w:lvlText w:val="%9."/>
      <w:lvlJc w:val="right"/>
      <w:pPr>
        <w:ind w:left="6480" w:hanging="180"/>
      </w:pPr>
    </w:lvl>
  </w:abstractNum>
  <w:abstractNum w:abstractNumId="3" w15:restartNumberingAfterBreak="0">
    <w:nsid w:val="4B0955DC"/>
    <w:multiLevelType w:val="multilevel"/>
    <w:tmpl w:val="2154EB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50B5061C"/>
    <w:multiLevelType w:val="multilevel"/>
    <w:tmpl w:val="FB605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6C342F7"/>
    <w:multiLevelType w:val="multilevel"/>
    <w:tmpl w:val="9364D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1576475993">
    <w:abstractNumId w:val="1"/>
  </w:num>
  <w:num w:numId="2" w16cid:durableId="1303736536">
    <w:abstractNumId w:val="2"/>
  </w:num>
  <w:num w:numId="3" w16cid:durableId="656694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7671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5239">
    <w:abstractNumId w:val="4"/>
  </w:num>
  <w:num w:numId="6" w16cid:durableId="1263606318">
    <w:abstractNumId w:val="3"/>
  </w:num>
  <w:num w:numId="7" w16cid:durableId="1381249265">
    <w:abstractNumId w:val="0"/>
  </w:num>
  <w:num w:numId="8" w16cid:durableId="1749305573">
    <w:abstractNumId w:val="5"/>
  </w:num>
  <w:num w:numId="9" w16cid:durableId="1447385164">
    <w:abstractNumId w:val="4"/>
  </w:num>
  <w:num w:numId="10" w16cid:durableId="1333332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0F7D1B"/>
    <w:rsid w:val="00234658"/>
    <w:rsid w:val="002A705A"/>
    <w:rsid w:val="003431F1"/>
    <w:rsid w:val="003D5931"/>
    <w:rsid w:val="003E1668"/>
    <w:rsid w:val="004F4DB9"/>
    <w:rsid w:val="006267D9"/>
    <w:rsid w:val="00672957"/>
    <w:rsid w:val="006F067A"/>
    <w:rsid w:val="00765309"/>
    <w:rsid w:val="00765B87"/>
    <w:rsid w:val="00796D7E"/>
    <w:rsid w:val="008E24E9"/>
    <w:rsid w:val="00924E5C"/>
    <w:rsid w:val="009358A6"/>
    <w:rsid w:val="00962AF9"/>
    <w:rsid w:val="009678E7"/>
    <w:rsid w:val="009D5854"/>
    <w:rsid w:val="00B0208E"/>
    <w:rsid w:val="00B77376"/>
    <w:rsid w:val="00BA3E2C"/>
    <w:rsid w:val="00C56287"/>
    <w:rsid w:val="00C71E21"/>
    <w:rsid w:val="00C94939"/>
    <w:rsid w:val="00CA2450"/>
    <w:rsid w:val="00CD4BEC"/>
    <w:rsid w:val="00D009DA"/>
    <w:rsid w:val="00E13A72"/>
    <w:rsid w:val="00E51541"/>
    <w:rsid w:val="00E81081"/>
    <w:rsid w:val="00EC35D8"/>
    <w:rsid w:val="00F753DB"/>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 w:type="paragraph" w:styleId="ac">
    <w:name w:val="List Paragraph"/>
    <w:basedOn w:val="a"/>
    <w:link w:val="ad"/>
    <w:qFormat/>
    <w:rsid w:val="00962AF9"/>
    <w:pPr>
      <w:spacing w:after="160" w:line="259" w:lineRule="auto"/>
      <w:ind w:left="720"/>
      <w:contextualSpacing/>
    </w:pPr>
    <w:rPr>
      <w:rFonts w:eastAsiaTheme="minorHAnsi"/>
      <w:sz w:val="22"/>
      <w:szCs w:val="22"/>
      <w:lang w:val="ru-RU" w:eastAsia="en-US"/>
    </w:rPr>
  </w:style>
  <w:style w:type="character" w:customStyle="1" w:styleId="ad">
    <w:name w:val="Абзац списка Знак"/>
    <w:basedOn w:val="a0"/>
    <w:link w:val="ac"/>
    <w:rsid w:val="00C94939"/>
    <w:rPr>
      <w:rFonts w:eastAsiaTheme="minorHAnsi"/>
      <w:sz w:val="22"/>
      <w:szCs w:val="22"/>
      <w:lang w:val="ru-RU" w:eastAsia="en-US"/>
    </w:rPr>
  </w:style>
  <w:style w:type="character" w:customStyle="1" w:styleId="g9ddarlprace29mmtwab">
    <w:name w:val="g9ddarlprace29mmtwab"/>
    <w:basedOn w:val="a0"/>
    <w:rsid w:val="00C94939"/>
  </w:style>
  <w:style w:type="character" w:customStyle="1" w:styleId="h9rpj5gkjhrwbrml3kdi">
    <w:name w:val="h9rpj5gkjhrwbrml3kdi"/>
    <w:basedOn w:val="a0"/>
    <w:rsid w:val="00C94939"/>
  </w:style>
  <w:style w:type="paragraph" w:customStyle="1" w:styleId="cpo0le0j16awb0g2heuz">
    <w:name w:val="cpo0le0j16awb0g2heuz"/>
    <w:basedOn w:val="a"/>
    <w:rsid w:val="00C94939"/>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3780">
      <w:bodyDiv w:val="1"/>
      <w:marLeft w:val="0"/>
      <w:marRight w:val="0"/>
      <w:marTop w:val="0"/>
      <w:marBottom w:val="0"/>
      <w:divBdr>
        <w:top w:val="none" w:sz="0" w:space="0" w:color="auto"/>
        <w:left w:val="none" w:sz="0" w:space="0" w:color="auto"/>
        <w:bottom w:val="none" w:sz="0" w:space="0" w:color="auto"/>
        <w:right w:val="none" w:sz="0" w:space="0" w:color="auto"/>
      </w:divBdr>
    </w:div>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997270031">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2025-03-21T15:18:00Z</dcterms:created>
  <dcterms:modified xsi:type="dcterms:W3CDTF">2025-03-21T15:18:00Z</dcterms:modified>
</cp:coreProperties>
</file>