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shd w:fill="auto" w:val="clear"/>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20956</wp:posOffset>
                  </wp:positionH>
                  <wp:positionV relativeFrom="paragraph">
                    <wp:posOffset>43180</wp:posOffset>
                  </wp:positionV>
                  <wp:extent cx="621665" cy="6203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shd w:fill="auto" w:val="clear"/>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shd w:fill="auto" w:val="clear"/>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26.02.25</w:t>
            </w:r>
          </w:p>
        </w:tc>
      </w:tr>
    </w:tbl>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Техническая академия «Росатома» провела деловую игру для старшеклассников</w:t>
      </w:r>
    </w:p>
    <w:p w:rsidR="00000000" w:rsidDel="00000000" w:rsidP="00000000" w:rsidRDefault="00000000" w:rsidRPr="00000000" w14:paraId="00000009">
      <w:pPr>
        <w:jc w:val="center"/>
        <w:rPr>
          <w:i w:val="1"/>
        </w:rPr>
      </w:pPr>
      <w:r w:rsidDel="00000000" w:rsidR="00000000" w:rsidRPr="00000000">
        <w:rPr>
          <w:i w:val="1"/>
          <w:rtl w:val="0"/>
        </w:rPr>
        <w:t xml:space="preserve">Полсотни школьников из Обнинска, Сарова, Заречного и других “атомградов” обсудили будущее ядерной энергетики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В Обнинске, Калужская область, на базе АНО ДПО «Техническая академия “Росатома”» состоялась двухдневная деловая игра для старшеклассников «II Школьная модель Международного агентства по атомной энергии (МАГАТЭ)». Инициатором мероприятия стал Совет юниоров «Росатома» города Обнинска. Игра была приурочена к 80-летию атомной промышленности. Участие в игре приняли 46 школьников из Обнинска, Сарова, Заречного и других “атомных” городов, а также дети сотрудников строящейся АЭС «Аккую» в Турции.</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Деловая игра представляла собой имитацию заседания Международного агентства по атомной энергии (МАГАТЭ). Школьники, обладающие хорошим знанием английского языка и прошедшие предварительный отбор, выступали в роли делегатов. Каждому из них была назначена страна-член МАГАТЭ, интересы которой они должны были представлять. Темой заседания стало «Будущее ядерной энергетики: замыкание ядерного топливного цикла как ключ к устойчивому энергетическому развитию». Наиболее активные участники, чьи выступления отличались аналитической глубиной, получили памятные награды.</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«Эта модель дает возможность изучить инновационные решения в области ядерной энергетики, рассмотреть международную политику и развить такие важные навыки, как работа в команде, принятие решений, ведение переговоров и публичные выступления. Эти навыки крайне важны для будущих лидеров в ядерном секторе. Как у молодых специалистов, у вас есть возможность продвинуть следующую волну инноваций, которые определят траекторию развития атомной энергетики. Ваши идеи сегодня – это основа решений завтра», – сказал заместитель генерального директора МАГАТЭ, руководитель Департамента ядерной энергии </w:t>
      </w:r>
      <w:r w:rsidDel="00000000" w:rsidR="00000000" w:rsidRPr="00000000">
        <w:rPr>
          <w:b w:val="1"/>
          <w:rtl w:val="0"/>
        </w:rPr>
        <w:t xml:space="preserve">Михаил Чудаков</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sz w:val="24"/>
      <w:szCs w:val="24"/>
      <w:lang w:val="ru-RU"/>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rPr>
      <w:sz w:val="24"/>
      <w:szCs w:val="24"/>
      <w:lang w:val="ru-RU"/>
    </w:rPr>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rPr>
      <w:sz w:val="24"/>
      <w:szCs w:val="24"/>
      <w:lang w:val="ru-RU"/>
    </w:rPr>
    <w:tblPr>
      <w:tblCellMar>
        <w:top w:w="0.0" w:type="dxa"/>
        <w:left w:w="0.0" w:type="dxa"/>
        <w:bottom w:w="0.0" w:type="dxa"/>
        <w:right w:w="0.0" w:type="dxa"/>
      </w:tblCellMar>
    </w:tblPr>
  </w:style>
  <w:style w:type="table" w:styleId="TableNormal1" w:customStyle="1">
    <w:name w:val="Table Normal"/>
    <w:rPr>
      <w:sz w:val="24"/>
      <w:szCs w:val="24"/>
      <w:lang w:val="ru-RU"/>
    </w:rPr>
    <w:tblPr>
      <w:tblCellMar>
        <w:top w:w="0.0" w:type="dxa"/>
        <w:left w:w="0.0" w:type="dxa"/>
        <w:bottom w:w="0.0" w:type="dxa"/>
        <w:right w:w="0.0" w:type="dxa"/>
      </w:tblCellMar>
    </w:tblPr>
  </w:style>
  <w:style w:type="table" w:styleId="TableNormal2" w:customStyle="1">
    <w:name w:val="Table Normal"/>
    <w:rPr>
      <w:sz w:val="24"/>
      <w:szCs w:val="24"/>
      <w:lang w:val="ru-RU"/>
    </w:rPr>
    <w:tblPr>
      <w:tblCellMar>
        <w:top w:w="0.0" w:type="dxa"/>
        <w:left w:w="0.0" w:type="dxa"/>
        <w:bottom w:w="0.0" w:type="dxa"/>
        <w:right w:w="0.0" w:type="dxa"/>
      </w:tblCellMar>
    </w:tblPr>
  </w:style>
  <w:style w:type="table" w:styleId="TableNormal10" w:customStyle="1">
    <w:name w:val="Table Normal1"/>
    <w:rPr>
      <w:sz w:val="24"/>
      <w:szCs w:val="24"/>
      <w:lang w:val="ru-RU"/>
    </w:rPr>
    <w:tblPr>
      <w:tblCellMar>
        <w:top w:w="0.0" w:type="dxa"/>
        <w:left w:w="0.0" w:type="dxa"/>
        <w:bottom w:w="0.0" w:type="dxa"/>
        <w:right w:w="0.0" w:type="dxa"/>
      </w:tblCellMar>
    </w:tblPr>
  </w:style>
  <w:style w:type="character" w:styleId="a4">
    <w:name w:val="Hyperlink"/>
    <w:uiPriority w:val="99"/>
    <w:unhideWhenUsed w:val="1"/>
    <w:rsid w:val="00C56287"/>
    <w:rPr>
      <w:color w:val="0563c1"/>
      <w:u w:val="single"/>
    </w:rPr>
  </w:style>
  <w:style w:type="character" w:styleId="a5">
    <w:name w:val="Unresolved Mention"/>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uiPriority w:val="99"/>
    <w:semiHidden w:val="1"/>
    <w:unhideWhenUsed w:val="1"/>
    <w:rsid w:val="00C56287"/>
    <w:rPr>
      <w:color w:val="954f72"/>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uiPriority w:val="20"/>
    <w:qFormat w:val="1"/>
    <w:rsid w:val="00912895"/>
    <w:rPr>
      <w:i w:val="1"/>
      <w:iCs w:val="1"/>
    </w:rPr>
  </w:style>
  <w:style w:type="character" w:styleId="af0">
    <w:name w:val="Strong"/>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cs="Times New Roman"/>
      <w:color w:val="000000"/>
      <w:sz w:val="22"/>
      <w:szCs w:val="22"/>
    </w:r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af4">
    <w:name w:val="Body Text"/>
    <w:basedOn w:val="a"/>
    <w:link w:val="af5"/>
    <w:rsid w:val="00BE1CC2"/>
    <w:pPr>
      <w:suppressAutoHyphens w:val="1"/>
      <w:spacing w:after="140" w:line="276" w:lineRule="auto"/>
    </w:pPr>
    <w:rPr>
      <w:rFonts w:ascii="Times New Roman" w:cs="Times New Roman" w:eastAsia="Times New Roman" w:hAnsi="Times New Roman"/>
      <w:lang w:eastAsia="zh-CN"/>
    </w:rPr>
  </w:style>
  <w:style w:type="character" w:styleId="af5" w:customStyle="1">
    <w:name w:val="Основной текст Знак"/>
    <w:link w:val="af4"/>
    <w:rsid w:val="00BE1CC2"/>
    <w:rPr>
      <w:rFonts w:ascii="Times New Roman" w:cs="Times New Roman" w:eastAsia="Times New Roman" w:hAnsi="Times New Roman"/>
      <w:lang w:eastAsia="zh-CN"/>
    </w:rPr>
  </w:style>
  <w:style w:type="table" w:styleId="af6" w:customStyle="1">
    <w:basedOn w:val="TableNormal0"/>
    <w:tblPr>
      <w:tblStyleRowBandSize w:val="1"/>
      <w:tblStyleColBandSize w:val="1"/>
      <w:tblCellMar>
        <w:left w:w="108.0" w:type="dxa"/>
        <w:right w:w="108.0" w:type="dxa"/>
      </w:tblCellMar>
    </w:tblPr>
  </w:style>
  <w:style w:type="paragraph" w:styleId="af7">
    <w:name w:val="No Spacing"/>
    <w:uiPriority w:val="1"/>
    <w:qFormat w:val="1"/>
    <w:rsid w:val="00BD4DF2"/>
    <w:rPr>
      <w:sz w:val="24"/>
      <w:szCs w:val="24"/>
      <w:lang w:val="ru-RU"/>
    </w:rPr>
  </w:style>
  <w:style w:type="paragraph" w:styleId="af8">
    <w:name w:val="annotation text"/>
    <w:basedOn w:val="a"/>
    <w:link w:val="af9"/>
    <w:uiPriority w:val="99"/>
    <w:unhideWhenUsed w:val="1"/>
    <w:rsid w:val="00514080"/>
    <w:rPr>
      <w:rFonts w:eastAsiaTheme="minorHAnsi"/>
      <w:sz w:val="20"/>
      <w:szCs w:val="20"/>
      <w:lang w:eastAsia="en-US"/>
    </w:rPr>
  </w:style>
  <w:style w:type="character" w:styleId="af9" w:customStyle="1">
    <w:name w:val="Текст примечания Знак"/>
    <w:basedOn w:val="a0"/>
    <w:link w:val="af8"/>
    <w:uiPriority w:val="99"/>
    <w:rsid w:val="00514080"/>
    <w:rPr>
      <w:rFonts w:eastAsiaTheme="minorHAnsi"/>
      <w:lang w:eastAsia="en-US"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lF0YkrYkqAfzrpGfrfXSGdrCQ==">CgMxLjA4AHIhMVdJcm1JWTFEaDFKZmkxdGlWYkVIOFlmcWFlbGFYTjdt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2025-02-26T10:37:00Z</dcterms:created>
  <dc:creator>b v</dc:creator>
</cp:coreProperties>
</file>