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6"/>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tc>
          <w:tcPr>
            <w:tcW w:w="1518" w:type="dxa"/>
          </w:tcPr>
          <w:p w14:paraId="333E5E93" w14:textId="77777777" w:rsidR="00A514EF" w:rsidRDefault="00000000">
            <w:pPr>
              <w:ind w:right="560"/>
              <w:rPr>
                <w:sz w:val="28"/>
                <w:szCs w:val="28"/>
              </w:rPr>
            </w:pPr>
            <w:r>
              <w:rPr>
                <w:noProof/>
              </w:rPr>
              <w:drawing>
                <wp:anchor distT="0" distB="0" distL="114300" distR="114300" simplePos="0" relativeHeight="251658240" behindDoc="0" locked="0" layoutInCell="1" hidden="0" allowOverlap="1" wp14:anchorId="6A12EDD9" wp14:editId="733B963D">
                  <wp:simplePos x="0" y="0"/>
                  <wp:positionH relativeFrom="column">
                    <wp:posOffset>20960</wp:posOffset>
                  </wp:positionH>
                  <wp:positionV relativeFrom="paragraph">
                    <wp:posOffset>43180</wp:posOffset>
                  </wp:positionV>
                  <wp:extent cx="621665" cy="620395"/>
                  <wp:effectExtent l="0" t="0" r="0" b="0"/>
                  <wp:wrapSquare wrapText="bothSides" distT="0" distB="0" distL="114300" distR="114300"/>
                  <wp:docPr id="15066305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7ABEF81A" w14:textId="77777777" w:rsidR="00A514EF" w:rsidRDefault="00000000">
            <w:pPr>
              <w:ind w:right="560"/>
              <w:rPr>
                <w:sz w:val="28"/>
                <w:szCs w:val="28"/>
              </w:rPr>
            </w:pPr>
            <w:r>
              <w:rPr>
                <w:sz w:val="28"/>
                <w:szCs w:val="28"/>
              </w:rPr>
              <w:t>Медиацентр атомной</w:t>
            </w:r>
          </w:p>
          <w:p w14:paraId="0B410153" w14:textId="77777777" w:rsidR="00A514EF" w:rsidRDefault="00000000">
            <w:pPr>
              <w:ind w:right="560"/>
              <w:rPr>
                <w:sz w:val="28"/>
                <w:szCs w:val="28"/>
              </w:rPr>
            </w:pPr>
            <w:r>
              <w:rPr>
                <w:sz w:val="28"/>
                <w:szCs w:val="28"/>
              </w:rPr>
              <w:t>промышленности</w:t>
            </w:r>
            <w:r>
              <w:rPr>
                <w:sz w:val="28"/>
                <w:szCs w:val="28"/>
              </w:rPr>
              <w:br/>
            </w:r>
            <w:hyperlink r:id="rId8">
              <w:proofErr w:type="spellStart"/>
              <w:proofErr w:type="gramStart"/>
              <w:r w:rsidR="00A514EF">
                <w:rPr>
                  <w:color w:val="0563C1"/>
                  <w:sz w:val="28"/>
                  <w:szCs w:val="28"/>
                  <w:u w:val="single"/>
                </w:rPr>
                <w:t>atommedia.online</w:t>
              </w:r>
              <w:proofErr w:type="spellEnd"/>
              <w:proofErr w:type="gramEnd"/>
            </w:hyperlink>
          </w:p>
        </w:tc>
        <w:tc>
          <w:tcPr>
            <w:tcW w:w="5136" w:type="dxa"/>
          </w:tcPr>
          <w:p w14:paraId="57DC74A3" w14:textId="77777777" w:rsidR="00A514EF" w:rsidRDefault="00000000">
            <w:pPr>
              <w:ind w:right="560"/>
              <w:jc w:val="right"/>
              <w:rPr>
                <w:b/>
                <w:sz w:val="28"/>
                <w:szCs w:val="28"/>
              </w:rPr>
            </w:pPr>
            <w:r>
              <w:rPr>
                <w:b/>
                <w:sz w:val="28"/>
                <w:szCs w:val="28"/>
              </w:rPr>
              <w:t>Пресс-релиз</w:t>
            </w:r>
          </w:p>
          <w:p w14:paraId="3F7386DA" w14:textId="30ED05DC" w:rsidR="00A514EF" w:rsidRDefault="00000000">
            <w:pPr>
              <w:ind w:right="560"/>
              <w:jc w:val="right"/>
              <w:rPr>
                <w:sz w:val="28"/>
                <w:szCs w:val="28"/>
              </w:rPr>
            </w:pPr>
            <w:r>
              <w:rPr>
                <w:sz w:val="28"/>
                <w:szCs w:val="28"/>
              </w:rPr>
              <w:t>2</w:t>
            </w:r>
            <w:r w:rsidR="0079067E">
              <w:rPr>
                <w:sz w:val="28"/>
                <w:szCs w:val="28"/>
              </w:rPr>
              <w:t>8</w:t>
            </w:r>
            <w:r>
              <w:rPr>
                <w:sz w:val="28"/>
                <w:szCs w:val="28"/>
              </w:rPr>
              <w:t>.01.25</w:t>
            </w:r>
          </w:p>
        </w:tc>
      </w:tr>
    </w:tbl>
    <w:p w14:paraId="52FA664D" w14:textId="77777777" w:rsidR="00A514EF" w:rsidRDefault="00A514EF">
      <w:pPr>
        <w:jc w:val="center"/>
        <w:rPr>
          <w:b/>
          <w:sz w:val="28"/>
          <w:szCs w:val="28"/>
        </w:rPr>
      </w:pPr>
    </w:p>
    <w:p w14:paraId="07512837" w14:textId="663C390F" w:rsidR="00D74FDA" w:rsidRPr="00D74FDA" w:rsidRDefault="00D74FDA" w:rsidP="00D74FDA">
      <w:pPr>
        <w:jc w:val="center"/>
        <w:rPr>
          <w:b/>
          <w:bCs/>
          <w:sz w:val="28"/>
          <w:szCs w:val="28"/>
        </w:rPr>
      </w:pPr>
      <w:r w:rsidRPr="00D74FDA">
        <w:rPr>
          <w:b/>
          <w:bCs/>
          <w:sz w:val="28"/>
          <w:szCs w:val="28"/>
        </w:rPr>
        <w:t>Компания «Росатома» начала строительство новых сетей водоснабжения и водоотведения в Глазове</w:t>
      </w:r>
    </w:p>
    <w:p w14:paraId="4F808837" w14:textId="77777777" w:rsidR="00D74FDA" w:rsidRPr="00D74FDA" w:rsidRDefault="00D74FDA" w:rsidP="00D74FDA">
      <w:pPr>
        <w:jc w:val="center"/>
        <w:rPr>
          <w:i/>
          <w:iCs/>
        </w:rPr>
      </w:pPr>
      <w:r w:rsidRPr="00D74FDA">
        <w:rPr>
          <w:i/>
          <w:iCs/>
        </w:rPr>
        <w:t>Цель – обеспечить инфраструктурой новый промышленный парк</w:t>
      </w:r>
    </w:p>
    <w:p w14:paraId="10F695B4" w14:textId="77777777" w:rsidR="00D74FDA" w:rsidRPr="00D74FDA" w:rsidRDefault="00D74FDA" w:rsidP="00D74FDA"/>
    <w:p w14:paraId="4C5C67C3" w14:textId="77777777" w:rsidR="00D74FDA" w:rsidRPr="00D74FDA" w:rsidRDefault="00D74FDA" w:rsidP="00D74FDA">
      <w:pPr>
        <w:rPr>
          <w:b/>
          <w:bCs/>
        </w:rPr>
      </w:pPr>
      <w:r w:rsidRPr="00D74FDA">
        <w:rPr>
          <w:b/>
          <w:bCs/>
        </w:rPr>
        <w:t xml:space="preserve">АО «Росатом Инфраструктурные решения» (РИР, входит в госкорпорацию «Росатом») начало строить два линейных объекта в Глазове (Удмуртская республика) – сеть водоснабжения и сеть водоотведения. Инфраструктура готовится для промышленного парка, на территории которого будут размещены высокотехнологичные предприятия «Росатома». </w:t>
      </w:r>
    </w:p>
    <w:p w14:paraId="3BB3A4E7" w14:textId="77777777" w:rsidR="00D74FDA" w:rsidRDefault="00D74FDA" w:rsidP="00D74FDA"/>
    <w:p w14:paraId="5ED9C732" w14:textId="10057058" w:rsidR="00D74FDA" w:rsidRPr="00D74FDA" w:rsidRDefault="00D74FDA" w:rsidP="00D74FDA">
      <w:r w:rsidRPr="00D74FDA">
        <w:t xml:space="preserve">Водопровод, протяженностью 3 км и диаметром 200 мм, соединит станцию третьего подъема на Химмашевском шоссе со строящимся объектом. Канализация длиной 0,5 км будет отводить стоки с территории промпарка. Строительство трубопроводов пройдет под рекой Малая </w:t>
      </w:r>
      <w:proofErr w:type="spellStart"/>
      <w:r w:rsidRPr="00D74FDA">
        <w:t>Сыга</w:t>
      </w:r>
      <w:proofErr w:type="spellEnd"/>
      <w:r w:rsidRPr="00D74FDA">
        <w:t>, железнодорожными путями, а также под капитальными бетонными дорогами. Большая часть работы по укладке труб будет выполнена бестраншейным способом, методом горизонтально направленного бурения, чтобы не нарушать благоустройство действующего производственного объекта. Новые сети позволят не только закрыть потребности производств на площадке промпарка, но и улучшат инфраструктуру района города. В частности, дополнительно предусмотрена реконструкция двух насосных станций для увеличения мощности. Завершить работы по строительству инфраструктуры филиал АО «РИР» планирует до конца июня 2025 года.</w:t>
      </w:r>
      <w:r>
        <w:t xml:space="preserve"> </w:t>
      </w:r>
    </w:p>
    <w:p w14:paraId="63BBBAD4" w14:textId="77777777" w:rsidR="00D74FDA" w:rsidRPr="00D74FDA" w:rsidRDefault="00D74FDA" w:rsidP="00D74FDA"/>
    <w:p w14:paraId="33FB45E9" w14:textId="1D370FA0" w:rsidR="00D74FDA" w:rsidRPr="00D74FDA" w:rsidRDefault="00D74FDA" w:rsidP="00D74FDA">
      <w:r w:rsidRPr="00D74FDA">
        <w:t xml:space="preserve">«По расчетам промпарку потребуется до 1250 кубометров воды в сутки. Инфраструктурное обеспечение новых производств на территории промпарка ведется с учетом самых строгих требований по качеству и надежности водоснабжения», – отметил директор филиала РИР в Глазове </w:t>
      </w:r>
      <w:r w:rsidRPr="00D74FDA">
        <w:rPr>
          <w:b/>
          <w:bCs/>
        </w:rPr>
        <w:t>Игорь Корепанов</w:t>
      </w:r>
      <w:r w:rsidRPr="00D74FDA">
        <w:t xml:space="preserve">. </w:t>
      </w:r>
    </w:p>
    <w:p w14:paraId="1F8C728A" w14:textId="1E7272C0" w:rsidR="00A514EF" w:rsidRPr="00D74FDA" w:rsidRDefault="00A514EF" w:rsidP="00D74FDA"/>
    <w:sectPr w:rsidR="00A514EF" w:rsidRPr="00D74FDA">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BD1AC" w14:textId="77777777" w:rsidR="004D3A5C" w:rsidRDefault="004D3A5C">
      <w:r>
        <w:separator/>
      </w:r>
    </w:p>
  </w:endnote>
  <w:endnote w:type="continuationSeparator" w:id="0">
    <w:p w14:paraId="012D0AFA" w14:textId="77777777" w:rsidR="004D3A5C" w:rsidRDefault="004D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F32C" w14:textId="77777777" w:rsidR="004D3A5C" w:rsidRDefault="004D3A5C">
      <w:r>
        <w:separator/>
      </w:r>
    </w:p>
  </w:footnote>
  <w:footnote w:type="continuationSeparator" w:id="0">
    <w:p w14:paraId="0EFCAFE7" w14:textId="77777777" w:rsidR="004D3A5C" w:rsidRDefault="004D3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EF"/>
    <w:rsid w:val="000132D7"/>
    <w:rsid w:val="00056CF1"/>
    <w:rsid w:val="00094F61"/>
    <w:rsid w:val="000A7EAD"/>
    <w:rsid w:val="000B0D4C"/>
    <w:rsid w:val="001156A1"/>
    <w:rsid w:val="00255321"/>
    <w:rsid w:val="004008EA"/>
    <w:rsid w:val="004D1D3E"/>
    <w:rsid w:val="004D3A5C"/>
    <w:rsid w:val="00554B57"/>
    <w:rsid w:val="006664EE"/>
    <w:rsid w:val="006967D2"/>
    <w:rsid w:val="006E601C"/>
    <w:rsid w:val="006F6DF3"/>
    <w:rsid w:val="00702575"/>
    <w:rsid w:val="0079067E"/>
    <w:rsid w:val="008737F3"/>
    <w:rsid w:val="009023A2"/>
    <w:rsid w:val="009414EE"/>
    <w:rsid w:val="00A514EF"/>
    <w:rsid w:val="00B6693C"/>
    <w:rsid w:val="00C23DC0"/>
    <w:rsid w:val="00D0013E"/>
    <w:rsid w:val="00D06C74"/>
    <w:rsid w:val="00D74FDA"/>
    <w:rsid w:val="00DA109D"/>
    <w:rsid w:val="00EF01DA"/>
    <w:rsid w:val="00EF1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basedOn w:val="a0"/>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Asus14-1</cp:lastModifiedBy>
  <cp:revision>2</cp:revision>
  <dcterms:created xsi:type="dcterms:W3CDTF">2025-01-28T09:57:00Z</dcterms:created>
  <dcterms:modified xsi:type="dcterms:W3CDTF">2025-01-28T09:57:00Z</dcterms:modified>
</cp:coreProperties>
</file>