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15.01.25</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выступит соорганизатором Форума будущих технологий</w:t>
      </w:r>
    </w:p>
    <w:p w:rsidR="00000000" w:rsidDel="00000000" w:rsidP="00000000" w:rsidRDefault="00000000" w:rsidRPr="00000000" w14:paraId="00000009">
      <w:pPr>
        <w:jc w:val="center"/>
        <w:rPr>
          <w:i w:val="1"/>
        </w:rPr>
      </w:pPr>
      <w:r w:rsidDel="00000000" w:rsidR="00000000" w:rsidRPr="00000000">
        <w:rPr>
          <w:i w:val="1"/>
          <w:rtl w:val="0"/>
        </w:rPr>
        <w:t xml:space="preserve">В рамках выставочной экспозиции будут представлены инновационные разработки и решения госкорпорации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Госкорпорация «Росатом» выступит соорганизатором III Форума будущих технологий (ФБТ) – ключевого мероприятия в сфере развития новых наукоемких областей. Оно состоится 20-21 февраля в Москве, в Центре международной торговли. Тема мероприятия в нынешнем году – «Новые материалы и химия». Форум позволит составить целостное представление о состоянии научной и производственной базы современных материалов, оценить перспективные производственные стратегии и выработать рекомендации по повышению эффективности мер господдержки данной сферы.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рамках выставочной экспозиции будут представлены перспективные разработки и решения в области новых материалов и соответствующих технологий для ключевых отраслей промышленности, в том числе атомной, медицинской, авиационной.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Первый заместитель председателя правительства Российской Федерации, куратор национального проекта «Новые материалы и химия» </w:t>
      </w:r>
      <w:r w:rsidDel="00000000" w:rsidR="00000000" w:rsidRPr="00000000">
        <w:rPr>
          <w:b w:val="1"/>
          <w:rtl w:val="0"/>
        </w:rPr>
        <w:t xml:space="preserve">Денис Мантуров</w:t>
      </w:r>
      <w:r w:rsidDel="00000000" w:rsidR="00000000" w:rsidRPr="00000000">
        <w:rPr>
          <w:rtl w:val="0"/>
        </w:rPr>
        <w:t xml:space="preserve"> как сопредседатель оргкомитета мероприятия подчеркнул, что форум объединит на одной площадке ведущих экспертов, ученых, представителей бизнеса и государственных деятелей для обсуждения будущего наукоемких технологий и передовых разработок. Деловая программа мероприятия будет сосредоточена на теме новых материалов и химии – одной из национальных целей развития Российской Федерации до 2030 года и на перспективу до 2036 года. </w:t>
      </w:r>
    </w:p>
    <w:p w:rsidR="00000000" w:rsidDel="00000000" w:rsidP="00000000" w:rsidRDefault="00000000" w:rsidRPr="00000000" w14:paraId="00000010">
      <w:pPr>
        <w:rPr/>
      </w:pPr>
      <w:r w:rsidDel="00000000" w:rsidR="00000000" w:rsidRPr="00000000">
        <w:rPr>
          <w:rtl w:val="0"/>
        </w:rPr>
        <w:t xml:space="preserve">«Развитие высокотехнологичных отраслей промышленности невозможно без создания прорывных решений в области материаловедения, без постоянного обновления и поиска материалов с новыми свойствами. Реализация нового национального проекта технологического лидерства “Новые материалы и химия” будет направлена на поддержку исследований в этой области и создание условий для вывода инновационной продукции на рынок. Участники форума дадут профессиональную оценку текущего состояния отрасли, вызовов и перспектив для более точной калибровки положений нацпроекта», – сказал он.</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«Для госкорпорации “Росатом” выступать в качестве соорганизатора форума – не только большая честь, но и важная миссия. Мы видим большие перспективы в развитии будущего российской науки в области химии. Сейчас самое подходящее время для инвестиций в научные исследования. Разрабатываемые материалы и технологии должны не только обеспечить технологический суверенитет, но и стать основой будущего технологического лидерства Российской Федерации», – отметил генеральный директор госкорпорации «Росатом» </w:t>
      </w:r>
      <w:r w:rsidDel="00000000" w:rsidR="00000000" w:rsidRPr="00000000">
        <w:rPr>
          <w:b w:val="1"/>
          <w:rtl w:val="0"/>
        </w:rPr>
        <w:t xml:space="preserve">Алексей Лихачёв</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Он также добавил, что тематика создания новых материалов, которая будет обсуждаться на форуме, является крайне актуальной. «Одним из национальных проектов технологического лидерства, формирующих базу для успешной реализации всех других нацпроектов, является национальный проект «Новые материалы и химия». Между его участниками будет выстроена кооперация, согласно которой за развитие фундаментальных и прикладных исследований с учетом высокого уровня научно-исследовательских компетенций отвечает НИЦ “Курчатовский институт”, а развитие серийных промышленных производств композитов, редких и редкоземельных металлов закреплены за госкорпорацией “Росатом”», – сказал </w:t>
      </w:r>
      <w:r w:rsidDel="00000000" w:rsidR="00000000" w:rsidRPr="00000000">
        <w:rPr>
          <w:b w:val="1"/>
          <w:rtl w:val="0"/>
        </w:rPr>
        <w:t xml:space="preserve">Алексей Лихачёв</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Cправка: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Организатором Форума будущих технологий выступает «Фонд Росконгресс», </w:t>
      </w:r>
      <w:r w:rsidDel="00000000" w:rsidR="00000000" w:rsidRPr="00000000">
        <w:rPr>
          <w:rtl w:val="0"/>
        </w:rPr>
        <w:t xml:space="preserve">соорганизаторами</w:t>
      </w:r>
      <w:r w:rsidDel="00000000" w:rsidR="00000000" w:rsidRPr="00000000">
        <w:rPr>
          <w:rtl w:val="0"/>
        </w:rPr>
        <w:t xml:space="preserve"> – крупнейшие российские корпорации при поддержке правительства Москвы и Минпромторга России. Ожидается не менее 200 спикеров и 2000 участников из 20 стран. В ходе мероприятия запланировано подписание ряда важных для отрасли соглашений. В рамках Форума состоятся лекции ведущих ученых по профильным темам, а также неформальные обсуждения молодыми учеными ключевых тенденций развития индустрии. На площадке ФБТ будет работать выставочное пространство технологических достижений крупнейших российских корпораций, наукоемких предприятий и научных организаций, которые представят отраслевые инновационные проекты и высокотехнологичное оборудование.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Форум пройдет в рамках Десятилетия науки и технологий в России, оно было объявлено 25 апреля 2022 года Президентом РФ Владимиром Путиным. Его целями названы привлечение молодежи в науку, вовлечение исследователей и разработчиков в решение важных для страны задач, повышение доступности информации о достижениях российской науки для граждан.</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Являясь одним из технологических лидеров страны, госкорпорация «Росатом» выступает партнером государства в реализации проектов развития по ряду наукоемких направлений, с которыми связаны перспективы развития отечественной экономики, а также обеспечение устойчивых научно-технических позиций страны в будущем. В рамках исполнения правительственных дорожных карт востребован собственный опыт и достижения атомной отрасли, а также возможности «Росатома» по формированию альянсов из числа государственных компаний и широкого круга участников рынка.</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basedOn w:val="a0"/>
    <w:link w:val="af4"/>
    <w:rsid w:val="00BE1CC2"/>
    <w:rPr>
      <w:rFonts w:ascii="Times New Roman" w:cs="Times New Roman" w:eastAsia="Times New Roman" w:hAnsi="Times New Roman"/>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x5mV8hvF6morwsHAgQd63DUQ==">CgMxLjA4AHIhMWV2WXBmYTI1dTRPRF9YQWpqbkxlOHRkb3lkYmx3R25f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2025-01-15T07:45:00Z</dcterms:created>
  <dc:creator>b v</dc:creator>
</cp:coreProperties>
</file>