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20959</wp:posOffset>
                  </wp:positionH>
                  <wp:positionV relativeFrom="paragraph">
                    <wp:posOffset>43180</wp:posOffset>
                  </wp:positionV>
                  <wp:extent cx="621665" cy="620395"/>
                  <wp:effectExtent b="0" l="0" r="0" t="0"/>
                  <wp:wrapSquare wrapText="bothSides" distB="0" distT="0" distL="114300" distR="114300"/>
                  <wp:docPr id="150663057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20.12.24</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Представители «Росатома» приняли участие в заседании президиума Научно-экспертного совета Госкомиссии по вопросам развития Арктики</w:t>
      </w:r>
    </w:p>
    <w:p w:rsidR="00000000" w:rsidDel="00000000" w:rsidP="00000000" w:rsidRDefault="00000000" w:rsidRPr="00000000" w14:paraId="00000009">
      <w:pPr>
        <w:jc w:val="center"/>
        <w:rPr>
          <w:i w:val="1"/>
        </w:rPr>
      </w:pPr>
      <w:r w:rsidDel="00000000" w:rsidR="00000000" w:rsidRPr="00000000">
        <w:rPr>
          <w:i w:val="1"/>
          <w:rtl w:val="0"/>
        </w:rPr>
        <w:t xml:space="preserve">«Атомфлот» обозначил актуальные запросы предприятия в области технологий перед научным сообществом</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Представители госкорпорации «Росатом» приняли участие в заседании президиума Научно-экспертного совета (НЭС) Госкомиссии по вопросам развития Арктики, которое прошло 19 декабря 2024 года в Мурманске, в Штабе морских операций на базе ФГУП «Атомфлот».</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В заседании президиума НЭС приняли участие: вице-президент Российской академии наук Сергей Чернышев, ректор Московского государственного технического университета им. Н.Э. Баумана Михаил Гордин (председатель НЭС), специальный представитель госкорпорации «Росатом» по вопросам развития Арктики Владимир Панов, ректор Национального исследовательского ядерного университета «МИФИ» Владимир Шевченко (оба входят в число опорных вузов «Росатома»), главный инженер ФГУП «Атомфлот» Владимир Кондратьев, а также представители Минобрнауки России и представители бизнеса.</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В ходе заседания представители «Атомфлота» рассказали об актуальных запросах атомного ледокольного флота к научному сообществу, связанных в том числе с необходимостью импортозамещения. Еще один блок вопросов касался разработок по созданию пищевых продуктов из арктических биоресурсов и выращиванию тепличных овощей в арктических условиях.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Решение проводить два из четырех ежегодных заседаний президиума НЭС в городах арктической зоны было принято, чтобы на месте оценить востребованность арктических проектов и научных исследований в интересах освоения Арктики и сделать их более прикладными.</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Справка:</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Научно-экспертный совет Государственной комиссии по вопросам развития Арктики (далее – НЭС) был создан 19 июня 2023 года. В состав НЭС входят 102 представителя органов государственной власти, крупнейших российских вузов, НИИ и компаний, реализующих инвестиционные проекты в Арктике. Среди основных задач НЭС – определение приоритетных и перспективных фундаментальных и прикладных исследований и разработок в интересах развития Арктики; подготовка предложений по их финансированию; осуществление научно-методологического и экспертного сопровождения вопросов, выносимых на рассмотрение Комиссии; проведение оценки научно-исследовательских и инновационных проектов, планируемых к реализации в Арктике и др. НЭС утверждены девять тематических направлений: «Арктические материалы», «Арктические агро- и биотехнологии», «Арктическая энергетика», «Арктический транспорт», «Арктическая навигация и связь», «Арктическая логистика», «Экология и здоровьесбережение в Арктике», «Арктическая инфраструктура» и «Минерально-сырьевые ресурсы Арктики». Основным органом принятия решений является президиум НЭС, состоящий из 17 человек – членов НЭС. Председатель НЭС – ректор Московского государственного технического университета имени Н.Э. Баумана Михаил Гордин, курирует деятельность НЭС заместитель председателя Комиссии, спецпредставитель госкорпорации «Росатом» по вопросам развития «Арктики» Владимир Панов.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ФГУП «Атомфлот» – предприятие госкорпорации «Росатом», базируется в Мурманске. Основными направлениями деятельности предприятия являются: ледокольное обеспечение арктических проектов; ледокольная проводка судов в акватории Северного морского пути (СМП) и в замерзающие порты РФ; оказание комплекса услуг портового флота в порту Сабетта; ледокольное обеспечение научных экспедиций в Арктике; техническое обслуживание и проведение ремонтных работ </w:t>
      </w:r>
      <w:r w:rsidDel="00000000" w:rsidR="00000000" w:rsidRPr="00000000">
        <w:rPr>
          <w:rtl w:val="0"/>
        </w:rPr>
        <w:t xml:space="preserve">общесудового</w:t>
      </w:r>
      <w:r w:rsidDel="00000000" w:rsidR="00000000" w:rsidRPr="00000000">
        <w:rPr>
          <w:rtl w:val="0"/>
        </w:rPr>
        <w:t xml:space="preserve"> и специального назначения; безопасное обращение с ядерными материалами и радиоактивными отходами. В состав атомного ледокольного флота входят ледоколы с ядерными энергетическими установками различной мощности («Арктика», «Сибирь», «Урал», «Ямал», «50 лет Победы» и др.), а также суда атомного технологического обслуживания и буксиры проекта «Портофлот». </w:t>
      </w:r>
      <w:hyperlink r:id="rId9">
        <w:r w:rsidDel="00000000" w:rsidR="00000000" w:rsidRPr="00000000">
          <w:rPr>
            <w:color w:val="0563c1"/>
            <w:u w:val="single"/>
            <w:rtl w:val="0"/>
          </w:rPr>
          <w:t xml:space="preserve">rosatomflot.ru</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Комплексное развитие Арктической зоны РФ является одним из стратегических приоритетов государства. Повышение объема перевозок по Северному морскому пути (СМП) имеет первостепенное значение для решения поставленных задач в области транспорта и доставки грузов. Развитие этого логистического коридора обеспечивается за счет налаживания регулярных грузоперевозок, постройки новых атомных ледоколов и модернизации соответствующей инфраструктуры. «Росатом» принимает активное участие в этой работе.</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footerReference r:id="rId10"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1"/>
    <w:tblPr>
      <w:tblCellMar>
        <w:top w:w="0.0" w:type="dxa"/>
        <w:left w:w="0.0" w:type="dxa"/>
        <w:bottom w:w="0.0" w:type="dxa"/>
        <w:right w:w="0.0" w:type="dxa"/>
      </w:tblCellMar>
    </w:tbl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table" w:styleId="af1" w:customStyle="1">
    <w:basedOn w:val="TableNormal0"/>
    <w:tblPr>
      <w:tblStyleRowBandSize w:val="1"/>
      <w:tblStyleColBandSize w:val="1"/>
      <w:tblCellMar>
        <w:left w:w="108.0" w:type="dxa"/>
        <w:right w:w="108.0" w:type="dxa"/>
      </w:tblCellMar>
    </w:tblPr>
  </w:style>
  <w:style w:type="table" w:styleId="af2"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www.rosatomflot.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5HBUepkzZCX0VLyENuEfn0tqQ==">CgMxLjA4AHIhMWVkemd5NjROYU9TQjRVcXZjMFdiQ3p1YWZkMlk2S2Q3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2024-12-20T11:58:00Z</dcterms:created>
  <dc:creator>b v</dc:creator>
</cp:coreProperties>
</file>