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обсудили итоги реализации мероприятий национального проекта «Экология»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общественных, научных и экспертных организаций высоко оценили проводимую работу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 декабря в Москве состоялось публичное обсуждение итогов реализации госкорпорацией «Росатом» национального проекта «Экология».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Представители органов государственной власти, научных, экспертных и общественных организаций, региональных экологических советов отметили, что «Росатом» реализует задачи в составе </w:t>
      </w:r>
      <w:r w:rsidDel="00000000" w:rsidR="00000000" w:rsidRPr="00000000">
        <w:rPr>
          <w:rtl w:val="0"/>
        </w:rPr>
        <w:t xml:space="preserve">четырёх</w:t>
      </w:r>
      <w:r w:rsidDel="00000000" w:rsidR="00000000" w:rsidRPr="00000000">
        <w:rPr>
          <w:rtl w:val="0"/>
        </w:rPr>
        <w:t xml:space="preserve"> федеральных проектов национального проекта «Экология» – «Инфраструктура для обращения с отходами I-II классов опасности», «Чистая страна», «Чистый воздух» и «Сохранение озера Байкал». В частности, в рамках завершающегося федерального проекта «Инфраструктура для обращения с отходами I-II классов опасности» «Росатом» успешно решил задачу по созданию контура единой системы обращения с промышленными отходами. Сформирована и совершенствуется необходимая нормативно-правовая база для реформирования данной отрасли. Создан институт федерального оператора: входящее в «Росатом» ФГУП «Федеральный экологический оператор» (ФЭО) стало «единым окном» в сфере обращения с промышленными отходами. ФЭО отвечает за создание и эксплуатацию базовой инфраструктуры, а также является разработчиком и администратором федеральной государственной информационной системы учета и контроля за обращением с отходами I-II классов опасности (ФГИС ОПВК). Эта цифровая платформа обеспечивает в режиме реального времени сквозной учет и контроль отходов с момента их образования до утилизации во вторичное сырье. Работа будет продолжена уже в рамках нового национального проекта «Экологическое благополучие» (2025-2030 гг.): задача – обеспечить достижение показателя «утилизации и обезвреживание не менее 50 % в общем объеме отходов I и II классов».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Существенного прогресса удалось достигнуть также в сфере ликвидации наиболее опасных объектов накопленного вреда окружающей среде. В активной фазе находятся работы на полигоне промышленных отходов «Красный Бор» в Ленинградской области. Создана уникальная технологическая инфраструктура для обезвреживания и утилизации накопленных на объекте отходов.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 г. Усолье-Сибирское на площадке бывшего «Усольехимпрома» ликвидированы все технологические емкости с отходами, демонтировано 92 % надземных и подземных частей загрязненных зданий, проводится рекультивация шламонакопителя и ликвидация нефтяной линзы. На площадке б. Байкальского ЦБК возведены основные производственные цеха и необходимые вспомогательные сооружения, подведены сети инженерного обеспечения, построена транспортная инфраструктура, начат монтаж технологического оборудования очистных сооружений. Работа также будет продолжена.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«Мы по праву гордимся тем, что создали первую в России и успешно функционирующую с 2021 года государственную информационную систему в сфере управления отходами. Сегодня она объединяет 115 тыс. пользователей из 62 тыс. организаций, что составляет более 95 % рынка, – рассказал директор направления по реализации государственных и отраслевых программ в сфере экологии госкорпорации «Росатом» </w:t>
      </w:r>
      <w:r w:rsidDel="00000000" w:rsidR="00000000" w:rsidRPr="00000000">
        <w:rPr>
          <w:b w:val="1"/>
          <w:rtl w:val="0"/>
        </w:rPr>
        <w:t xml:space="preserve">Андрей Лебедев</w:t>
      </w:r>
      <w:r w:rsidDel="00000000" w:rsidR="00000000" w:rsidRPr="00000000">
        <w:rPr>
          <w:rtl w:val="0"/>
        </w:rPr>
        <w:t xml:space="preserve">. – Еще одна ключевая составляющая мероприятий федерального проекта – создание базовой инфраструктуры для глубокой переработки отходов I и II классов с учетом потребностей рынка. Первые два объекта в Саратовской и Курганской областях, оснащенные отечественными технологиями, введены в опытно-промышленную эксплуатацию».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Для решения сложных экологических задач «Росатом» применяет комплексный подход с упором на передовые отечественные решения, что дает импульс развитию технологического суверенитета страны. «Формируя сегодня технологический суверенитет нашего государства, мы закладываем вектор развития </w:t>
      </w:r>
      <w:r w:rsidDel="00000000" w:rsidR="00000000" w:rsidRPr="00000000">
        <w:rPr>
          <w:rtl w:val="0"/>
        </w:rPr>
        <w:t xml:space="preserve">экотехнологий</w:t>
      </w:r>
      <w:r w:rsidDel="00000000" w:rsidR="00000000" w:rsidRPr="00000000">
        <w:rPr>
          <w:rtl w:val="0"/>
        </w:rPr>
        <w:t xml:space="preserve"> будущего. Одним из приоритетов становится наработка отечественных высокотехнологических решений и референтных компетенций. Политика госкорпорации «Росатом» направлена именно на это: представители крупных организаций, общественности, международных площадок работают в едином ключе», – отметила заместитель председателя комитета по аграрно-продовольственной политике и природопользованию Совета Федерации Российской Федерации </w:t>
      </w:r>
      <w:r w:rsidDel="00000000" w:rsidR="00000000" w:rsidRPr="00000000">
        <w:rPr>
          <w:b w:val="1"/>
          <w:rtl w:val="0"/>
        </w:rPr>
        <w:t xml:space="preserve">Татьяна Сахарова</w:t>
      </w:r>
      <w:r w:rsidDel="00000000" w:rsidR="00000000" w:rsidRPr="00000000">
        <w:rPr>
          <w:rtl w:val="0"/>
        </w:rPr>
        <w:t xml:space="preserve">. – Технологии, которые использует “Росатом”, не просто самые современные и инновационные. Важно, что это наши российские технологии. “Росатом” сегодня задает тренд современной работы, и именно такой приоритет был определен главой государства».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«Ключевые задачи национального проекта “Экология”, поставленные перед госкорпорацией, в целом решены. Вместе с тем, мы продолжаем работу, у нас много планов, которые уже включены в новый национальный проект «Экологическое благополучие», – отметил заместитель генерального директора по машиностроению и индустриальным решениям госкорпорации «Росатом» </w:t>
      </w:r>
      <w:r w:rsidDel="00000000" w:rsidR="00000000" w:rsidRPr="00000000">
        <w:rPr>
          <w:b w:val="1"/>
          <w:rtl w:val="0"/>
        </w:rPr>
        <w:t xml:space="preserve">Андрей Никипелов</w:t>
      </w:r>
      <w:r w:rsidDel="00000000" w:rsidR="00000000" w:rsidRPr="00000000">
        <w:rPr>
          <w:rtl w:val="0"/>
        </w:rPr>
        <w:t xml:space="preserve">. – Мы работаем в тесном взаимодействии с общественностью, исполнительными и законодательными органами власти, ведем диалог с регионами. И именно такое сотрудничество – ключ к достижению целей».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«Решение задачи по эффективному и экологически безопасному обращению с промышленными отходами напрямую связано с вопросами технологического развития отрасли и подготовкой высококвалифицированных специалистов, способных решать сложные экологические задачи. «Реализация таких масштабных проектов в сфере экологии требует комплексного подхода. Здесь и экономические, и инженерные, и химические, и биологические задачи. Российская академия наук с готовностью участвует в этой работе и планирует продолжать обеспечивать свою экспертную функцию и взаимодействовать с госкорпорацией “Росатом”, общественными организациями, органами власти», – отметил вице-президент Российской академии наук </w:t>
      </w:r>
      <w:r w:rsidDel="00000000" w:rsidR="00000000" w:rsidRPr="00000000">
        <w:rPr>
          <w:b w:val="1"/>
          <w:rtl w:val="0"/>
        </w:rPr>
        <w:t xml:space="preserve">Степан Калмыков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«Вопросы экологической безопасности и рационального природопользования являются приоритетом национальных проектов. Как и многие сферы, это направление испытывает дефицит высококвалифицированных специалистов. Вместе с тем, с каждым годом количество специалистов, выпускаемых нашими университетами, и количество ребят, поступающих на экологические направления, растут. Сегодня 370 университетов готовят специалистов по профилю “Экология” в рамках направления науки о земле и по профилю “Промышленная экология и биотехнология”. Каждый год примерно по 10 тысяч абитуриентов поступают на эти направления», – сказал первый заместитель председателя комитета по науке и высшему образованию Государственной Думы РФ </w:t>
      </w:r>
      <w:r w:rsidDel="00000000" w:rsidR="00000000" w:rsidRPr="00000000">
        <w:rPr>
          <w:b w:val="1"/>
          <w:rtl w:val="0"/>
        </w:rPr>
        <w:t xml:space="preserve">Александр Мажуга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«Росатом» придерживается политики открытости и реализует проекты под чутким общественным контролем. «Общественное сопровождение национального проекта «Экология» ведется на системной основе. Именно благодаря тесному взаимодействию госкорпорации с общественными советами и экологическими организациями обеспечивается общественная приемлемость реализуемых проектов», – рассказал член Общественного совета «Росатома» </w:t>
      </w:r>
      <w:r w:rsidDel="00000000" w:rsidR="00000000" w:rsidRPr="00000000">
        <w:rPr>
          <w:b w:val="1"/>
          <w:rtl w:val="0"/>
        </w:rPr>
        <w:t xml:space="preserve">Олег Муратов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участник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ежегодно направляют на мероприятия по охране окружающей среды сотни миллионов рублей.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wrLgPuiW0mZF2aMkO4ORo2FhQ==">CgMxLjA4AHIhMWNnWFhQVk5hcVd5WTVzMDBoSEZBY1VYQURfQ09xSTV1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2024-12-19T13:03:00Z</dcterms:created>
  <dc:creator>b v</dc:creator>
</cp:coreProperties>
</file>