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bookmarkStart w:colFirst="0" w:colLast="0" w:name="_heading=h.gjdgxs" w:id="0"/>
      <w:bookmarkEnd w:id="0"/>
      <w:r w:rsidDel="00000000" w:rsidR="00000000" w:rsidRPr="00000000">
        <w:rPr>
          <w:b w:val="1"/>
          <w:sz w:val="28"/>
          <w:szCs w:val="28"/>
          <w:rtl w:val="0"/>
        </w:rPr>
        <w:t xml:space="preserve">В музее «Атом» наградили лауреатов всероссийской премии «ИСТОК»</w:t>
      </w:r>
    </w:p>
    <w:p w:rsidR="00000000" w:rsidDel="00000000" w:rsidP="00000000" w:rsidRDefault="00000000" w:rsidRPr="00000000" w14:paraId="00000009">
      <w:pPr>
        <w:jc w:val="center"/>
        <w:rPr>
          <w:i w:val="1"/>
        </w:rPr>
      </w:pPr>
      <w:r w:rsidDel="00000000" w:rsidR="00000000" w:rsidRPr="00000000">
        <w:rPr>
          <w:i w:val="1"/>
          <w:rtl w:val="0"/>
        </w:rPr>
        <w:t xml:space="preserve">Лауреатами стали 17 учителей химии, физики, информатики и математики, а также три управления образования администраций городов «Росатома»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16 декабря в музее «Атом» в Москве состоялась церемония награждения лауреатов Всероссийской премии «Исток» имени академика Игоря Петрянова-Соколова. Премия учреждена госкорпорацией «Росатом» и ежегодно присуждается лучшим учителям физики, математики, информатики и химии.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этом году впервые были введены номинация «За развитие кадрового потенциала» и специальный приз за разработку и тиражирование педагогической методики развития инженерного образования.</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Всего для участия в отборочной кампании было подано 150 заявок из 29 городов России. Выдвижение претендентов на премию происходило через городские комиссии, в состав которых вошли представители родительского и ученического сообществ, органов управления образованием и предприятий атомной отрасли. </w:t>
      </w:r>
    </w:p>
    <w:p w:rsidR="00000000" w:rsidDel="00000000" w:rsidP="00000000" w:rsidRDefault="00000000" w:rsidRPr="00000000" w14:paraId="00000010">
      <w:pPr>
        <w:rPr/>
      </w:pPr>
      <w:r w:rsidDel="00000000" w:rsidR="00000000" w:rsidRPr="00000000">
        <w:rPr>
          <w:rtl w:val="0"/>
        </w:rPr>
        <w:t xml:space="preserve">В жюри премии традиционно входят лучшие учителя России, лауреаты прошлых лет, проректоры ведущих вузов страны, академики РАН, представители органов исполнительной власти, представители госкорпорации «Росатом».</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Премия «Исток» является частью масштабного проекта «Учитель для “Росатома”» программы «Люди и города», которая реализуется в атомных городах. Главными целями проекта являются повышение качества образования в городах присутствия «Росатома», решение проблем нехватки учителей и увеличение числа школьников, сдающих ЕГЭ по профильным предметам, повышение престижа профессии учителя.</w:t>
      </w:r>
    </w:p>
    <w:p w:rsidR="00000000" w:rsidDel="00000000" w:rsidP="00000000" w:rsidRDefault="00000000" w:rsidRPr="00000000" w14:paraId="00000013">
      <w:pPr>
        <w:rPr/>
      </w:pPr>
      <w:r w:rsidDel="00000000" w:rsidR="00000000" w:rsidRPr="00000000">
        <w:rPr>
          <w:rtl w:val="0"/>
        </w:rPr>
        <w:t xml:space="preserve">В торжественной церемонии награждения приняли участие заместитель генерального директора по персоналу госкорпорации «Росатом» Татьяна Терентьева, генеральный директор АНО «Корпоративная Академия Росатома» Юлия Ужакина, первый заместитель председателя Комитета Совета Федерации по конституционному законодательству и государственному строительству Любовь Глебова, первый заместитель министра просвещения Александр Бугаев, научный руководитель Национального центра физики и математики Александр Сергеев, доктор медицинских наук Галина Засухина и другие.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«Учитель – это призвание и миссия. Мы в «Росатоме» прекрасно понимаем значение и вклад педагогов, и создаем условия для их поддержки и развития: организовали Совет педагогов «Росатома», проводим стажировки для будущих педагогов, образовательные конференции. В рамках программы «Учитель для “Росатома”» к 2030 году планируем обучить более 1,5 тыс. педагогов и привлечь 500 новых учителей в сеть школ «Росатома». И, конечно, поддерживаем ежегодную педагогическую премию «Исток», которую в 2021 году мы учредили вместе с Российской академией наук, чтобы повысить престиж естественно-научных и точных дисциплин. В целом наша образовательная экосистема объединяет тысячи педагогов, сотни тысяч школьников, дошкольников и их родителей. Совместные усилия социально ответственного бизнеса, государства и педагогов обязательно дадут хороший результат. Уверена, вас ждут новые победы и лучшее из возможных признаний – гордость за новые таланты, которые вы воспитаете», – обратилась к преподавателям Татьяна Терентьева.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Идея премии принадлежит научному руководителю НЦФМ академику РАН Александру Сергееву, который рассматривает школу «как место, где формируется наше будущее силами талантливых, неравнодушных, добросовестных учителей, как источник, из которого наука и промышленность черпают новые поколения исследователей, инженеров и технологов». Как отметил Сергеев, слова “учитель”, “ученик”, “ученый” - однокоренные.</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Справка:</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Лауреаты премии «Исток» 2024 года.</w:t>
      </w:r>
    </w:p>
    <w:p w:rsidR="00000000" w:rsidDel="00000000" w:rsidP="00000000" w:rsidRDefault="00000000" w:rsidRPr="00000000" w14:paraId="0000001D">
      <w:pPr>
        <w:rPr>
          <w:i w:val="1"/>
        </w:rPr>
      </w:pPr>
      <w:r w:rsidDel="00000000" w:rsidR="00000000" w:rsidRPr="00000000">
        <w:rPr>
          <w:i w:val="1"/>
          <w:rtl w:val="0"/>
        </w:rPr>
        <w:t xml:space="preserve">Номинация «За яркий и продуктивный старт в профессии учителя»: </w:t>
      </w:r>
    </w:p>
    <w:p w:rsidR="00000000" w:rsidDel="00000000" w:rsidP="00000000" w:rsidRDefault="00000000" w:rsidRPr="00000000" w14:paraId="0000001E">
      <w:pPr>
        <w:rPr/>
      </w:pPr>
      <w:r w:rsidDel="00000000" w:rsidR="00000000" w:rsidRPr="00000000">
        <w:rPr>
          <w:rtl w:val="0"/>
        </w:rPr>
        <w:t xml:space="preserve">Алена Баймухамбетова, учитель физики МАОУ СОШ №28 г. Балаково (Саратовская область);</w:t>
      </w:r>
    </w:p>
    <w:p w:rsidR="00000000" w:rsidDel="00000000" w:rsidP="00000000" w:rsidRDefault="00000000" w:rsidRPr="00000000" w14:paraId="0000001F">
      <w:pPr>
        <w:rPr/>
      </w:pPr>
      <w:r w:rsidDel="00000000" w:rsidR="00000000" w:rsidRPr="00000000">
        <w:rPr>
          <w:rtl w:val="0"/>
        </w:rPr>
        <w:t xml:space="preserve">Анастасия Гарина, учитель физики МБОУ ООШ №3 г. Полярные Зори (Мурманская область);</w:t>
      </w:r>
    </w:p>
    <w:p w:rsidR="00000000" w:rsidDel="00000000" w:rsidP="00000000" w:rsidRDefault="00000000" w:rsidRPr="00000000" w14:paraId="00000020">
      <w:pPr>
        <w:rPr/>
      </w:pPr>
      <w:r w:rsidDel="00000000" w:rsidR="00000000" w:rsidRPr="00000000">
        <w:rPr>
          <w:rtl w:val="0"/>
        </w:rPr>
        <w:t xml:space="preserve">Марина Фомина, учитель химии МБОУ СОШ №10 г. Усолье-Сибирское (Иркутская область).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Номинация «Учитель для Росатома» по физике:</w:t>
      </w:r>
    </w:p>
    <w:p w:rsidR="00000000" w:rsidDel="00000000" w:rsidP="00000000" w:rsidRDefault="00000000" w:rsidRPr="00000000" w14:paraId="00000023">
      <w:pPr>
        <w:rPr/>
      </w:pPr>
      <w:r w:rsidDel="00000000" w:rsidR="00000000" w:rsidRPr="00000000">
        <w:rPr>
          <w:rtl w:val="0"/>
        </w:rPr>
        <w:t xml:space="preserve">Анна Карбовская, МОУ СОШ №27, г. Балаково (Саратовская область);</w:t>
      </w:r>
    </w:p>
    <w:p w:rsidR="00000000" w:rsidDel="00000000" w:rsidP="00000000" w:rsidRDefault="00000000" w:rsidRPr="00000000" w14:paraId="00000024">
      <w:pPr>
        <w:rPr/>
      </w:pPr>
      <w:r w:rsidDel="00000000" w:rsidR="00000000" w:rsidRPr="00000000">
        <w:rPr>
          <w:rtl w:val="0"/>
        </w:rPr>
        <w:t xml:space="preserve">Оксана Смирнова, МАОУ Лицей №58, г. Новоуральск (Свердловская область);</w:t>
      </w:r>
    </w:p>
    <w:p w:rsidR="00000000" w:rsidDel="00000000" w:rsidP="00000000" w:rsidRDefault="00000000" w:rsidRPr="00000000" w14:paraId="00000025">
      <w:pPr>
        <w:rPr/>
      </w:pPr>
      <w:r w:rsidDel="00000000" w:rsidR="00000000" w:rsidRPr="00000000">
        <w:rPr>
          <w:rtl w:val="0"/>
        </w:rPr>
        <w:t xml:space="preserve">Татьяна Шевченко, МБОУ Гимназия №1, г. Ангарск (Иркутская область);</w:t>
      </w:r>
    </w:p>
    <w:p w:rsidR="00000000" w:rsidDel="00000000" w:rsidP="00000000" w:rsidRDefault="00000000" w:rsidRPr="00000000" w14:paraId="00000026">
      <w:pPr>
        <w:rPr/>
      </w:pPr>
      <w:r w:rsidDel="00000000" w:rsidR="00000000" w:rsidRPr="00000000">
        <w:rPr>
          <w:rtl w:val="0"/>
        </w:rPr>
        <w:t xml:space="preserve">Наиля Никулкина, МБОУ СОШ №125 с углубленным изучением математики г. Снежинск (Челябинская область).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Номинация «Учитель для Росатома» по математике:</w:t>
      </w:r>
    </w:p>
    <w:p w:rsidR="00000000" w:rsidDel="00000000" w:rsidP="00000000" w:rsidRDefault="00000000" w:rsidRPr="00000000" w14:paraId="00000029">
      <w:pPr>
        <w:rPr/>
      </w:pPr>
      <w:r w:rsidDel="00000000" w:rsidR="00000000" w:rsidRPr="00000000">
        <w:rPr>
          <w:rtl w:val="0"/>
        </w:rPr>
        <w:t xml:space="preserve">Татьяна Кирпичникова, МБОУ СОШ №4, г. Полярные Зори, (Мурманская область);</w:t>
      </w:r>
    </w:p>
    <w:p w:rsidR="00000000" w:rsidDel="00000000" w:rsidP="00000000" w:rsidRDefault="00000000" w:rsidRPr="00000000" w14:paraId="0000002A">
      <w:pPr>
        <w:rPr/>
      </w:pPr>
      <w:r w:rsidDel="00000000" w:rsidR="00000000" w:rsidRPr="00000000">
        <w:rPr>
          <w:rtl w:val="0"/>
        </w:rPr>
        <w:t xml:space="preserve">Елена Приставко, МБОУ Гимназия №1, г. Полярные Зори (Мурманская область);</w:t>
      </w:r>
    </w:p>
    <w:p w:rsidR="00000000" w:rsidDel="00000000" w:rsidP="00000000" w:rsidRDefault="00000000" w:rsidRPr="00000000" w14:paraId="0000002B">
      <w:pPr>
        <w:rPr/>
      </w:pPr>
      <w:r w:rsidDel="00000000" w:rsidR="00000000" w:rsidRPr="00000000">
        <w:rPr>
          <w:rtl w:val="0"/>
        </w:rPr>
        <w:t xml:space="preserve">Мария Ремезова, МБОУ СОШ №125 с углубленным изучением математики, г. Снежинск (Челябинская область).</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Номинация «Учитель для Росатома» по химии: </w:t>
      </w:r>
    </w:p>
    <w:p w:rsidR="00000000" w:rsidDel="00000000" w:rsidP="00000000" w:rsidRDefault="00000000" w:rsidRPr="00000000" w14:paraId="0000002E">
      <w:pPr>
        <w:rPr/>
      </w:pPr>
      <w:r w:rsidDel="00000000" w:rsidR="00000000" w:rsidRPr="00000000">
        <w:rPr>
          <w:rtl w:val="0"/>
        </w:rPr>
        <w:t xml:space="preserve">Лариса Кононенко, МБОУ Лицей №7, г. Электросталь (Московская область);</w:t>
      </w:r>
    </w:p>
    <w:p w:rsidR="00000000" w:rsidDel="00000000" w:rsidP="00000000" w:rsidRDefault="00000000" w:rsidRPr="00000000" w14:paraId="0000002F">
      <w:pPr>
        <w:rPr/>
      </w:pPr>
      <w:r w:rsidDel="00000000" w:rsidR="00000000" w:rsidRPr="00000000">
        <w:rPr>
          <w:rtl w:val="0"/>
        </w:rPr>
        <w:t xml:space="preserve">Анна Караулова, МБОУ Гимназия №1, г. Полярные Зори (Мурманская область);</w:t>
      </w:r>
    </w:p>
    <w:p w:rsidR="00000000" w:rsidDel="00000000" w:rsidP="00000000" w:rsidRDefault="00000000" w:rsidRPr="00000000" w14:paraId="00000030">
      <w:pPr>
        <w:rPr/>
      </w:pPr>
      <w:r w:rsidDel="00000000" w:rsidR="00000000" w:rsidRPr="00000000">
        <w:rPr>
          <w:rtl w:val="0"/>
        </w:rPr>
        <w:t xml:space="preserve">Анна Кокорина, МБОУ СОШ №21, г. Ковров (Владимирская область).</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Номинация «Учитель для Росатома» по информатике:</w:t>
      </w:r>
    </w:p>
    <w:p w:rsidR="00000000" w:rsidDel="00000000" w:rsidP="00000000" w:rsidRDefault="00000000" w:rsidRPr="00000000" w14:paraId="00000033">
      <w:pPr>
        <w:rPr/>
      </w:pPr>
      <w:r w:rsidDel="00000000" w:rsidR="00000000" w:rsidRPr="00000000">
        <w:rPr>
          <w:rtl w:val="0"/>
        </w:rPr>
        <w:t xml:space="preserve">Анна Звездина, МБОУ СОШ №135 им. Б.В. Литвинова, г. Снежинск (Челябинская область);</w:t>
      </w:r>
    </w:p>
    <w:p w:rsidR="00000000" w:rsidDel="00000000" w:rsidP="00000000" w:rsidRDefault="00000000" w:rsidRPr="00000000" w14:paraId="00000034">
      <w:pPr>
        <w:rPr/>
      </w:pPr>
      <w:r w:rsidDel="00000000" w:rsidR="00000000" w:rsidRPr="00000000">
        <w:rPr>
          <w:rtl w:val="0"/>
        </w:rPr>
        <w:t xml:space="preserve">Николай Постоловский, МБОУ Лицей №24, г. Волгодонск (Ростовская область);</w:t>
      </w:r>
    </w:p>
    <w:p w:rsidR="00000000" w:rsidDel="00000000" w:rsidP="00000000" w:rsidRDefault="00000000" w:rsidRPr="00000000" w14:paraId="00000035">
      <w:pPr>
        <w:rPr/>
      </w:pPr>
      <w:bookmarkStart w:colFirst="0" w:colLast="0" w:name="_heading=h.30j0zll" w:id="1"/>
      <w:bookmarkEnd w:id="1"/>
      <w:r w:rsidDel="00000000" w:rsidR="00000000" w:rsidRPr="00000000">
        <w:rPr>
          <w:rtl w:val="0"/>
        </w:rPr>
        <w:t xml:space="preserve">Вероника Кудряшова, МБОУ СОШ №83, г. Северск (Томская область).</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Номинация «За развитие кадрового потенциала»:</w:t>
      </w:r>
    </w:p>
    <w:p w:rsidR="00000000" w:rsidDel="00000000" w:rsidP="00000000" w:rsidRDefault="00000000" w:rsidRPr="00000000" w14:paraId="00000038">
      <w:pPr>
        <w:rPr/>
      </w:pPr>
      <w:r w:rsidDel="00000000" w:rsidR="00000000" w:rsidRPr="00000000">
        <w:rPr>
          <w:rtl w:val="0"/>
        </w:rPr>
        <w:t xml:space="preserve">Управление образования Администрации городского округа «Город Лесной» среди городов с численностью населения до 50 тыс. человек;</w:t>
      </w:r>
    </w:p>
    <w:p w:rsidR="00000000" w:rsidDel="00000000" w:rsidP="00000000" w:rsidRDefault="00000000" w:rsidRPr="00000000" w14:paraId="00000039">
      <w:pPr>
        <w:rPr/>
      </w:pPr>
      <w:r w:rsidDel="00000000" w:rsidR="00000000" w:rsidRPr="00000000">
        <w:rPr>
          <w:rtl w:val="0"/>
        </w:rPr>
        <w:t xml:space="preserve">Управление образования Администрации Новоуральского городского округа среди городов с численностью населения 50-100 тыс. человек;</w:t>
      </w:r>
    </w:p>
    <w:p w:rsidR="00000000" w:rsidDel="00000000" w:rsidP="00000000" w:rsidRDefault="00000000" w:rsidRPr="00000000" w14:paraId="0000003A">
      <w:pPr>
        <w:rPr/>
      </w:pPr>
      <w:r w:rsidDel="00000000" w:rsidR="00000000" w:rsidRPr="00000000">
        <w:rPr>
          <w:rtl w:val="0"/>
        </w:rPr>
        <w:t xml:space="preserve">Управление общего образования Администрации г. Обнинска среди городов с численностью населения более 100 тыс. человек.</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Специальный приз за разработку, внедрение и тиражирование педагогической практики по развитию инженерного образования:</w:t>
      </w:r>
    </w:p>
    <w:p w:rsidR="00000000" w:rsidDel="00000000" w:rsidP="00000000" w:rsidRDefault="00000000" w:rsidRPr="00000000" w14:paraId="0000003D">
      <w:pPr>
        <w:rPr/>
      </w:pPr>
      <w:r w:rsidDel="00000000" w:rsidR="00000000" w:rsidRPr="00000000">
        <w:rPr>
          <w:rtl w:val="0"/>
        </w:rPr>
        <w:t xml:space="preserve">Денис Бурдаков, ГАОУ ДПО МО «Корпоративный университет развития образования», г. Электросталь (Московская область).</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Всероссийская премия «Исток» вручается с 2021 года по инициативе экс-президента РАН А.М. Сергеева и названа в честь академика Игоря Васильевича Петрянова-Соколова, известного ученого, общественного деятеля, педагога и популяризатора науки. Учредителем премии является госкорпорация «Росатом».</w:t>
      </w:r>
    </w:p>
    <w:p w:rsidR="00000000" w:rsidDel="00000000" w:rsidP="00000000" w:rsidRDefault="00000000" w:rsidRPr="00000000" w14:paraId="00000041">
      <w:pPr>
        <w:rPr/>
      </w:pPr>
      <w:r w:rsidDel="00000000" w:rsidR="00000000" w:rsidRPr="00000000">
        <w:rPr>
          <w:rtl w:val="0"/>
        </w:rPr>
        <w:t xml:space="preserve">Ежегодно премия «Исток» присуждается школьным учителям физики, математики, информатики и химии. Цель премии «Исток» – повысить престиж естественнонаучных и технических специальностей, а также выразить благодарность учителям, стоящим у истоков интереса школьников к данным предметам.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Правительство РФ и крупные российские компании уделяют большое внимание планомерной работе для создания максимально благоприятной среды для развития молодежи. «Росатом» последовательно внедряет инициативы, направленные на раскрытие потенциала учащихся школ, колледжей и вузов. Развитие сферы образования позволяет повысить эффективность подготовки новых кадров, необходимых отечественным промышленным предприятиям. Наряду с работой по внедрению новых учебных программ и модулей дополнительного образования, формируются условия для повышения доступности образования. Поддержка учителей также является значимой частью работы наряду с формированием новой инфраструктуры и разработкой узкопрофильных программ обучения.</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TlvgYU2E6yFQlexScZmIHaE3w==">CgMxLjAyCGguZ2pkZ3hzMgloLjMwajB6bGw4AHIhMVNERDBJYWl6c2xyR0ltd3NnNzNuSTV2eUV3a1FZbW9s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2024-12-17T10:03:00Z</dcterms:created>
  <dc:creator>b v</dc:creator>
</cp:coreProperties>
</file>