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7.11.24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Rosatom to Participate in the 29th Conference of the Parties to the United Nations Framework Convention on Climate Change (COP29)</w:t>
      </w:r>
    </w:p>
    <w:p w:rsidR="00000000" w:rsidDel="00000000" w:rsidP="00000000" w:rsidRDefault="00000000" w:rsidRPr="00000000" w14:paraId="0000000B">
      <w:pPr>
        <w:rPr>
          <w:i w:val="1"/>
        </w:rPr>
      </w:pPr>
      <w:r w:rsidDel="00000000" w:rsidR="00000000" w:rsidRPr="00000000">
        <w:rPr>
          <w:i w:val="1"/>
          <w:rtl w:val="0"/>
        </w:rPr>
        <w:t xml:space="preserve">State corporation speakers will discuss the role of nuclear technology in achieving global climate goals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Rosatom State Atomic Energy Corporation will participate in the 29th Conference of the Parties to the United Nations Framework Convention on Climate Change (COP29), which will begin on November 11 in Baku, Azerbaijan. Rosatom’s involvement in the event aims to promote nuclear energy as a reliable source of clean energy, playing a key role in combating climate change and achieving the UN’s Sustainable Development Goals.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During the conference, Rosatom will showcase key achievements in sustainable development, energy security, and green technology, supporting global climate goals in Russia and the international markets. Rosatom representatives will take part in sessions focused on energy transition scenarios for various countries, climate regulation development, and educational collaboration to foster a fair and sustainable future. Supporting young professionals advocating for nuclear technologies will be a priority for the Rosatom delegation at the conference.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main COP29 business program events with Rosatom speakers include the panel discussion “Russia’s Fuel and Energy Complex: A Look into the Future” and the session “</w:t>
      </w:r>
      <w:r w:rsidDel="00000000" w:rsidR="00000000" w:rsidRPr="00000000">
        <w:rPr>
          <w:highlight w:val="white"/>
          <w:rtl w:val="0"/>
        </w:rPr>
        <w:t xml:space="preserve">Advanced technologies for the energy of the future</w:t>
      </w:r>
      <w:r w:rsidDel="00000000" w:rsidR="00000000" w:rsidRPr="00000000">
        <w:rPr>
          <w:rtl w:val="0"/>
        </w:rPr>
        <w:t xml:space="preserve">” (both on November 14); sessions on “Climate Change and Investment for Risk Mitigation Related to Uranium Legacy Sites in Central Asia,” “The Role of Nuclear Energy in Achieving Carbon Neutrality,” and “The Future of Energy Systems in the Black Sea Region” (all on November 15); “Nuclear Education Technology: Path to a Fair and Sustainable Future” (November 18).</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“Rosatom has traditionally participated in the global UN climate conference because we believe nuclear energy makes a substantial contribution to low-carbon generation and energy transition. By developing nuclear power plant projects worldwide, we help integrate a clean energy source into the national energy mix of partner countries, setting up appropriate green regulation. Equally important is our commitment to fostering dialogue with young leaders, joining forces to address climate preservation, a shared goal uniting humanity today,” commented Alexey Likhachev, Director General of Rosatom.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i w:val="1"/>
        </w:rPr>
      </w:pPr>
      <w:r w:rsidDel="00000000" w:rsidR="00000000" w:rsidRPr="00000000">
        <w:rPr>
          <w:b w:val="1"/>
          <w:i w:val="1"/>
          <w:rtl w:val="0"/>
        </w:rPr>
        <w:t xml:space="preserve">For reference: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United Nations Climate Change Conference is the largest forum focusing on climate issues and the highest decision-making body for implementing the provisions of the UN Framework Convention on Climate Change (UNFCCC), the Kyoto Protocol, and the Paris Agreement.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State Atomic Energy Corporation “Rosatom” is a diversified holding having assets in energy, engineering, and construction. Rosatom’s activities also include the production of innovative non-nuclear products, logistics, Northern Sea Route development, and environmental projects. The corporation includes over 450 enterprises and organizations, employing more than 350,000 people.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Confirmed green credentials are a core principle of the company’s long-term strategic development. Rosatom is Russia’s largest producer of low-carbon electricity, generating about 20 % of the nation’s total electricity. It ranks first globally in the portfolio of nuclear power plant orders, with 39 power units (including six small modular reactors) in various stages of development across 10 countries.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At the previous COP28, held in 2023 in the United Arab Emirates, Rosatom joined the Net Zero Nuclear Industry Pledge – a pioneering initiative to triple global nuclear capacity by 2050. This pledge, organized by the World Nuclear Association, was presented during the official COP28 program at the “Atoms4NetZero: Accelerating Nuclear Energy Deployment” event.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Nuclear power generates no direct CO2 emissions, and its greenhouse gas emissions over the full lifecycle are minimal, placing it alongside wind, solar, and hydropower. Nuclear energy’s low-carbon profile is recognized in international studies, and since 2022, it has been included in the EU’s green taxonomy.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In Russia, significant focus is given to the development and implementation of new environmental protection technologies. Rosatom, a low-carbon energy producer, takes consistent steps toward a green economy. Reducing environmental impact, preserving and replenishing biological resources are all priorities for Russia’s nuclear sector. Nuclear power companies dedicate hundreds of millions of rubles annually to environmental protection initiatives, focusing on clean energy production. Rosatom is involved in biodiversity conservation, reforestation, riverbank cleanup, and fish restocking. Nuclear energy, with its zero CO2 emissions during generation, can significantly contribute to climate action – a crucial factor for many countries.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Russia actively expands cooperation with friendly states. Despite external limitations, the national economy continues to build export potential, supplying goods, services, and raw materials worldwide. Major international energy projects remain underway, with Rosatom and its divisions actively participating in these efforts.</w:t>
      </w:r>
    </w:p>
    <w:p w:rsidR="00000000" w:rsidDel="00000000" w:rsidP="00000000" w:rsidRDefault="00000000" w:rsidRPr="00000000" w14:paraId="00000024">
      <w:pPr>
        <w:jc w:val="cente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6bGP4C8c6xYq4gPhBr4FFDFEA==">CgMxLjA4AHIhMTEzQmNfZUdCakNRTHM2czMtMDU2OFhSNWJQcml4RnNi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2024-11-07T14:08:00Z</dcterms:created>
  <dc:creator>b v</dc:creator>
</cp:coreProperties>
</file>