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d"/>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lang w:val="en-US"/>
              </w:rPr>
            </w:pPr>
            <w:r>
              <w:rPr>
                <w:sz w:val="28"/>
                <w:szCs w:val="28"/>
                <w:lang w:val="en-US"/>
              </w:rPr>
              <w:t>12</w:t>
            </w:r>
            <w:r>
              <w:rPr>
                <w:sz w:val="28"/>
                <w:szCs w:val="28"/>
              </w:rPr>
              <w:t>.11.2</w:t>
            </w:r>
            <w:r>
              <w:rPr>
                <w:sz w:val="28"/>
                <w:szCs w:val="28"/>
                <w:lang w:val="en-US"/>
              </w:rPr>
              <w:t>4</w:t>
            </w:r>
          </w:p>
        </w:tc>
      </w:tr>
    </w:tbl>
    <w:p>
      <w:pPr>
        <w:pStyle w:val="Normal"/>
        <w:jc w:val="center"/>
        <w:rPr>
          <w:b/>
          <w:bCs/>
          <w:sz w:val="28"/>
          <w:szCs w:val="28"/>
        </w:rPr>
      </w:pPr>
      <w:r>
        <w:rPr>
          <w:b/>
          <w:bCs/>
          <w:sz w:val="28"/>
          <w:szCs w:val="28"/>
        </w:rPr>
      </w:r>
    </w:p>
    <w:p>
      <w:pPr>
        <w:pStyle w:val="Normal"/>
        <w:jc w:val="center"/>
        <w:rPr>
          <w:b/>
          <w:bCs/>
          <w:sz w:val="28"/>
          <w:szCs w:val="28"/>
        </w:rPr>
      </w:pPr>
      <w:r>
        <w:rPr>
          <w:b/>
          <w:bCs/>
          <w:sz w:val="28"/>
          <w:szCs w:val="28"/>
        </w:rPr>
        <w:t>Сотрудники «Росатома» и его предприятий собрали на поддержку жителей Курской области почти 180 тонн гуманитарных грузов и 64,6 млн рублей</w:t>
      </w:r>
    </w:p>
    <w:p>
      <w:pPr>
        <w:pStyle w:val="Normal"/>
        <w:jc w:val="center"/>
        <w:rPr>
          <w:i/>
          <w:i/>
          <w:iCs/>
        </w:rPr>
      </w:pPr>
      <w:r>
        <w:rPr>
          <w:i/>
          <w:iCs/>
        </w:rPr>
        <w:t>В область поступили собранные атомщиками продукты длительного хранения, одежда и обувь, спальные мешки</w:t>
      </w:r>
    </w:p>
    <w:p>
      <w:pPr>
        <w:pStyle w:val="Normal"/>
        <w:rPr/>
      </w:pPr>
      <w:r>
        <w:rPr/>
      </w:r>
    </w:p>
    <w:p>
      <w:pPr>
        <w:pStyle w:val="Normal"/>
        <w:rPr/>
      </w:pPr>
      <w:r>
        <w:rPr/>
        <w:t>Сбор финансовых средств и предметов первой необходимости был начат на предприятиях атомной отрасли 9 августа. Коллективы предприятий «Росатома» по всей стране организовали сбор продуктов питания, средств гигиены, тёплой одежды, постельного белья и других предметов первой необходимости. Благодаря тесному сотрудничеству с Федеральным медико-биологическим агентством в регион было отправлено 28 тонн медицинской помощи.</w:t>
      </w:r>
    </w:p>
    <w:p>
      <w:pPr>
        <w:pStyle w:val="Normal"/>
        <w:rPr/>
      </w:pPr>
      <w:r>
        <w:rPr/>
      </w:r>
    </w:p>
    <w:p>
      <w:pPr>
        <w:pStyle w:val="Normal"/>
        <w:rPr/>
      </w:pPr>
      <w:r>
        <w:rPr/>
        <w:t xml:space="preserve">В рамках общеотраслевой акции «Росатома» на поддержку Курской области собрано почти 180 тонн гуманитарных грузов и 64,6 млн рублей. Основную помощь обеспечили предприятия Электроэнергетического дивизиона госкорпорации, которые стали ключевым звеном в процессе сбора и доставки необходимой помощи (в частности, координация и регулярная доставка грузов в Курскую область осуществляются силами концерна «Росэнергоатом»). На еженедельной основе грузы доставлялись со склада ВНИИАЭС в Москве, что стало возможным благодаря активному содействию сотрудников АО «Атомстройэкспорт», которые дополнительно организовали пункты приёма в Нижнем Новгороде и Санкт-Петербурге. К инициативе присоединились также другие крупные предприятия отрасли. </w:t>
      </w:r>
    </w:p>
    <w:p>
      <w:pPr>
        <w:pStyle w:val="Normal"/>
        <w:rPr/>
      </w:pPr>
      <w:r>
        <w:rPr/>
      </w:r>
    </w:p>
    <w:p>
      <w:pPr>
        <w:pStyle w:val="Normal"/>
        <w:rPr/>
      </w:pPr>
      <w:r>
        <w:rPr/>
        <w:t>В августе концерн «Росэнергоатом» организовал корпоративный сбор средств через профсоюзный комитет, в результате которого за три месяца коллективы атомных станций и профсоюзные организации собрали 47,6 млн рублей. Дополнительно, при содействии Общероссийского народного фронта, «Росатом» открыл отдельный счёт для всей отрасли, на который поступило более 15 млн рублей. На собранные средства закуплены продукты длительного хранения, одежда и обувь, а также необходимое оборудование, включая бензопилы, дрели и спальные мешки – всё необходимое для помощи в сложившихся условиях. Руководители «Росатома» приобрели 45 ноутбуков для школ Курской области, 2 тысячи комплектов школьных принадлежностей для начальных классов, бензиновые генераторы.</w:t>
      </w:r>
    </w:p>
    <w:p>
      <w:pPr>
        <w:pStyle w:val="Normal"/>
        <w:rPr/>
      </w:pPr>
      <w:r>
        <w:rPr/>
      </w:r>
    </w:p>
    <w:p>
      <w:pPr>
        <w:pStyle w:val="Normal"/>
        <w:rPr/>
      </w:pPr>
      <w:r>
        <w:rPr/>
        <w:t>«”Росэнергоатом” и вся атомная отрасль всегда были едины в способности объединяться в самой непростой ситуации. И сейчас события в Курской области и братском Курчатове отзываются в каждом сердце. Работники предприятий “Росэнергоатома” уже не первый месяц активно принимают участие в отраслевом сборе продуктов питания, медикаментов, товаров для детей, средств первой необходимости, постельных принадлежностей и одежды. Хочу поблагодарить все дивизионы и предприятия атомной отрасли за оперативный отклик, неравнодушие и активную поддержку данной инициативы», – отметил первый заместитель генерального директора «Росэнергоатома» по корпоративным функциям Джумбери Ткебучава.</w:t>
      </w:r>
    </w:p>
    <w:p>
      <w:pPr>
        <w:pStyle w:val="Normal"/>
        <w:rPr/>
      </w:pPr>
      <w:r>
        <w:rPr/>
      </w:r>
    </w:p>
    <w:p>
      <w:pPr>
        <w:pStyle w:val="Normal"/>
        <w:rPr/>
      </w:pPr>
      <w:r>
        <w:rPr/>
        <w:t xml:space="preserve">«Сотрудники атомной отрасли всегда готовы прийти на помощь тем, кому это необходимо. Коллеги из </w:t>
      </w:r>
      <w:r>
        <w:rPr/>
        <w:t>к</w:t>
      </w:r>
      <w:r>
        <w:rPr/>
        <w:t xml:space="preserve">онцерна одними из первых отреагировали на случившееся в Курской области и в первые же дни собрали внушительные суммы финансовой помощи Курчатову. В дополнение к неоценимому вкладу “Росэнергоатома” мы видим активное участие всех без исключения дивизионов, вне зависимости от географического расположения предприятий. Мы безмерно благодарны всем коллегам за неравнодушие», – рассказала об итогах гуманитарной акции Анна Жигульская, директор проектного офиса по внутренним коммуникациям и корпоративной социальной ответственности </w:t>
      </w:r>
      <w:r>
        <w:rPr/>
        <w:t>г</w:t>
      </w:r>
      <w:r>
        <w:rPr/>
        <w:t>оскорпорации «Росатом».</w:t>
      </w:r>
    </w:p>
    <w:p>
      <w:pPr>
        <w:pStyle w:val="Normal"/>
        <w:rPr/>
      </w:pPr>
      <w:r>
        <w:rPr/>
      </w:r>
    </w:p>
    <w:p>
      <w:pPr>
        <w:pStyle w:val="Normal"/>
        <w:rPr/>
      </w:pPr>
      <w:r>
        <w:rPr/>
        <w:t>Отраслевая акция переходит в формат «по запросу»: Электроэнергетический дивизион продолжит приём грузов от московских предприятий на базе ВНИИАЭС, в то время как пункты сбора в Нижнем Новгороде и Санкт-Петербурге завершили свою работу. Для сотрудников отраслевых предприятий сохраняется также опция оказания финансовой поддержки.</w:t>
      </w:r>
    </w:p>
    <w:p>
      <w:pPr>
        <w:pStyle w:val="Normal"/>
        <w:rPr/>
      </w:pPr>
      <w:r>
        <w:rPr/>
      </w:r>
    </w:p>
    <w:p>
      <w:pPr>
        <w:pStyle w:val="Normal"/>
        <w:rPr>
          <w:b/>
          <w:bCs/>
        </w:rPr>
      </w:pPr>
      <w:r>
        <w:rPr>
          <w:b/>
          <w:bCs/>
        </w:rPr>
        <w:t xml:space="preserve">Справка: </w:t>
      </w:r>
    </w:p>
    <w:p>
      <w:pPr>
        <w:pStyle w:val="Normal"/>
        <w:rPr/>
      </w:pPr>
      <w:r>
        <w:rPr/>
      </w:r>
    </w:p>
    <w:p>
      <w:pPr>
        <w:pStyle w:val="Normal"/>
        <w:rPr/>
      </w:pPr>
      <w:r>
        <w:rPr/>
        <w:t>Электроэнергетический дивизион госкорпорации «Росатом» объединяет целый ряд предприятий, которые занимаются выработкой электроэнергии, ремонтами и обслуживанием генерирующих мощностей, установкой электрозаправочных станций, производством изотопов для здравоохранения и другими направлениями деятельности. Основой дивизиона является АО «Концерн Росэнергоатом» – крупнейшая генерирующая компания страны и лидер в производстве «зеленой» электроэнергии. В состав «Росэнергоатома» на правах филиалов входят 11 действующих АЭС, в эксплуатации находятся 36 энергоблоков (включая плавучий энергоблок (ПЭБ) ПАТЭС в составе двух реакторных установок) суммарной установленной мощностью свыше 28,5 ГВт. Доля атомной генерации на сегодняшний день составляет около 20 % от всего объема выработки электроэнергии в стране. Таким образом, каждая пятая лампочка в РФ горит от энергии, выработанной атомными станциями.</w:t>
      </w:r>
    </w:p>
    <w:p>
      <w:pPr>
        <w:pStyle w:val="Normal"/>
        <w:rPr/>
      </w:pPr>
      <w:r>
        <w:rPr/>
      </w:r>
    </w:p>
    <w:p>
      <w:pPr>
        <w:pStyle w:val="Normal"/>
        <w:rPr/>
      </w:pPr>
      <w:r>
        <w:rPr/>
        <w:t>Инжиниринговый дивизион госкорпорации «Росатом» объединяет ведущие компании атомной отрасли: АО «Атомстройэкспорт» (Москва, Нижний Новгород, филиалы в России и за рубежом), Объединенный проектный институт – АО «Атомэнергопроект» (Московский, Нижегородский, Санкт-Петербургский филиалы – проектные институты, филиалы в России и за рубежом, изыскательские филиалы) и дочерние строительные организации. Инжиниринговый дивизион занимает первое место в мире по портфелю заказов и количеству одновременно сооружаемых АЭС в разных странах мира. Порядка 80 % выручки дивизиона составляют зарубежные проекты. Инжиниринговый дивизион реализует проекты по сооружению АЭС большой мощности в России и других странах, оказывает полный спектр услуг EPC, EP, EPC(M), включая управление проектом и проектирование, и развивает Multi-D технологии для управления сложными инженерными объектами. Дивизион опирается на достижения российской атомной отрасли и современные инновационные технологии, строит надежные и безопасные АЭС с реакторами типа ВВЭР поколения 3+, которые отвечают всем международным требованиям и рекомендациям.</w:t>
      </w:r>
    </w:p>
    <w:p>
      <w:pPr>
        <w:pStyle w:val="Normal"/>
        <w:rPr/>
      </w:pPr>
      <w:r>
        <w:rPr/>
      </w:r>
    </w:p>
    <w:p>
      <w:pPr>
        <w:pStyle w:val="Normal"/>
        <w:rPr/>
      </w:pPr>
      <w:r>
        <w:rPr/>
        <w:t>Крупные российские компании продолжают расширять спектр решений по поддержке волонтерских инициатив. Корпоративное волонтерство в «Росатоме» развивается на системной основе с 2018 года. Госкорпорация оказывает содействие всем предприятиям, где добровольческую деятельность курируют координаторы движения, а также волонтеры-лидеры. В отрасли существует неформальное объединение «Волонтеры Росатома», к которому может присоединиться каждый сотрудник. Большой опыт организации помощи на уровне регионов был наработан в период пандемии.</w:t>
      </w:r>
    </w:p>
    <w:p>
      <w:pPr>
        <w:pStyle w:val="Normal"/>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themeColor="text1" w:themeTint="a6"/>
      </w:rPr>
    </w:pPr>
    <w:r>
      <w:rPr>
        <w:color w:val="595959" w:themeColor="text1" w:themeTint="a6"/>
      </w:rPr>
    </w:r>
  </w:p>
  <w:p>
    <w:pPr>
      <w:pStyle w:val="Normal"/>
      <w:pBdr/>
      <w:tabs>
        <w:tab w:val="clear" w:pos="720"/>
        <w:tab w:val="center" w:pos="4680" w:leader="none"/>
        <w:tab w:val="right" w:pos="9360" w:leader="none"/>
      </w:tabs>
      <w:rPr>
        <w:i/>
        <w:i/>
        <w:iCs/>
        <w:color w:val="595959" w:themeColor="text1" w:themeTint="a6"/>
      </w:rPr>
    </w:pPr>
    <w:r>
      <w:rPr>
        <w:i/>
        <w:iCs/>
        <w:color w:val="595959" w:themeColor="text1" w:themeTint="a6"/>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character" w:styleId="V1msohyperlink" w:customStyle="1">
    <w:name w:val="v1msohyperlink"/>
    <w:basedOn w:val="DefaultParagraphFont"/>
    <w:qFormat/>
    <w:rsid w:val="008e1ae0"/>
    <w:rPr/>
  </w:style>
  <w:style w:type="character" w:styleId="Style11">
    <w:name w:val="Emphasis"/>
    <w:basedOn w:val="DefaultParagraphFont"/>
    <w:uiPriority w:val="20"/>
    <w:qFormat/>
    <w:rsid w:val="00912895"/>
    <w:rPr>
      <w:i/>
      <w:iCs/>
    </w:rPr>
  </w:style>
  <w:style w:type="character" w:styleId="Strong">
    <w:name w:val="Strong"/>
    <w:basedOn w:val="DefaultParagraphFont"/>
    <w:uiPriority w:val="22"/>
    <w:qFormat/>
    <w:rsid w:val="00912895"/>
    <w:rPr>
      <w:b/>
      <w:bCs/>
    </w:rPr>
  </w:style>
  <w:style w:type="paragraph" w:styleId="Style12">
    <w:name w:val="Заголовок"/>
    <w:basedOn w:val="Normal"/>
    <w:next w:val="Style13"/>
    <w:qFormat/>
    <w:pPr>
      <w:keepNext w:val="true"/>
      <w:spacing w:before="240" w:after="120"/>
    </w:pPr>
    <w:rPr>
      <w:rFonts w:ascii="Calibri" w:hAnsi="Calibri"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Calibri" w:hAnsi="Calibri" w:cs="Arial"/>
    </w:rPr>
  </w:style>
  <w:style w:type="paragraph" w:styleId="Style15">
    <w:name w:val="Caption"/>
    <w:basedOn w:val="Normal"/>
    <w:qFormat/>
    <w:pPr>
      <w:suppressLineNumbers/>
      <w:spacing w:before="120" w:after="120"/>
    </w:pPr>
    <w:rPr>
      <w:rFonts w:ascii="Calibri" w:hAnsi="Calibri" w:cs="Arial"/>
      <w:i/>
      <w:iCs/>
      <w:sz w:val="24"/>
      <w:szCs w:val="24"/>
    </w:rPr>
  </w:style>
  <w:style w:type="paragraph" w:styleId="Style16">
    <w:name w:val="Указатель"/>
    <w:basedOn w:val="Normal"/>
    <w:qFormat/>
    <w:pPr>
      <w:suppressLineNumbers/>
    </w:pPr>
    <w:rPr>
      <w:rFonts w:ascii="Calibri" w:hAnsi="Calibri" w:cs="Arial"/>
    </w:rPr>
  </w:style>
  <w:style w:type="paragraph" w:styleId="Style17">
    <w:name w:val="Title"/>
    <w:basedOn w:val="Normal"/>
    <w:next w:val="Normal"/>
    <w:uiPriority w:val="10"/>
    <w:qFormat/>
    <w:pPr>
      <w:keepNext w:val="true"/>
      <w:keepLines/>
      <w:spacing w:before="480" w:after="120"/>
    </w:pPr>
    <w:rPr>
      <w:b/>
      <w:sz w:val="72"/>
      <w:szCs w:val="72"/>
    </w:rPr>
  </w:style>
  <w:style w:type="paragraph" w:styleId="Style18">
    <w:name w:val="Колонтитул"/>
    <w:basedOn w:val="Normal"/>
    <w:qFormat/>
    <w:pPr/>
    <w:rPr/>
  </w:style>
  <w:style w:type="paragraph" w:styleId="Style19">
    <w:name w:val="Header"/>
    <w:basedOn w:val="Normal"/>
    <w:link w:val="Style8"/>
    <w:uiPriority w:val="99"/>
    <w:unhideWhenUsed/>
    <w:rsid w:val="00c56287"/>
    <w:pPr>
      <w:tabs>
        <w:tab w:val="clear" w:pos="720"/>
        <w:tab w:val="center" w:pos="4680" w:leader="none"/>
        <w:tab w:val="right" w:pos="9360" w:leader="none"/>
      </w:tabs>
    </w:pPr>
    <w:rPr/>
  </w:style>
  <w:style w:type="paragraph" w:styleId="Style20">
    <w:name w:val="Footer"/>
    <w:basedOn w:val="Normal"/>
    <w:link w:val="Style9"/>
    <w:uiPriority w:val="99"/>
    <w:unhideWhenUsed/>
    <w:rsid w:val="00c56287"/>
    <w:pPr>
      <w:tabs>
        <w:tab w:val="clear" w:pos="720"/>
        <w:tab w:val="center" w:pos="4680" w:leader="none"/>
        <w:tab w:val="right" w:pos="9360" w:leader="none"/>
      </w:tabs>
    </w:pPr>
    <w:rPr/>
  </w:style>
  <w:style w:type="paragraph" w:styleId="Style21">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V1msonormal" w:customStyle="1">
    <w:name w:val="v1msonormal"/>
    <w:basedOn w:val="Normal"/>
    <w:qFormat/>
    <w:rsid w:val="00756799"/>
    <w:pPr>
      <w:spacing w:beforeAutospacing="1" w:afterAutospacing="1"/>
    </w:pPr>
    <w:rPr>
      <w:rFonts w:ascii="Times New Roman" w:hAnsi="Times New Roman" w:eastAsia="Times New Roman" w:cs="Times New Roman"/>
    </w:rPr>
  </w:style>
  <w:style w:type="paragraph" w:styleId="NormalWeb">
    <w:name w:val="Normal (Web)"/>
    <w:basedOn w:val="Normal"/>
    <w:uiPriority w:val="99"/>
    <w:semiHidden/>
    <w:unhideWhenUsed/>
    <w:qFormat/>
    <w:rsid w:val="00ed1b39"/>
    <w:pPr>
      <w:spacing w:beforeAutospacing="1" w:afterAutospacing="1"/>
    </w:pPr>
    <w:rPr>
      <w:rFonts w:ascii="Times New Roman" w:hAnsi="Times New Roman" w:eastAsia="Times New Roman" w:cs="Times New Roman"/>
    </w:rPr>
  </w:style>
  <w:style w:type="paragraph" w:styleId="Western" w:customStyle="1">
    <w:name w:val="western"/>
    <w:basedOn w:val="Normal"/>
    <w:qFormat/>
    <w:rsid w:val="000c417f"/>
    <w:pPr>
      <w:suppressAutoHyphens w:val="true"/>
      <w:spacing w:lineRule="auto" w:line="276" w:beforeAutospacing="1" w:after="142"/>
    </w:pPr>
    <w:rPr>
      <w:rFonts w:ascii="Calibri" w:hAnsi="Calibri" w:eastAsia="Calibri" w:cs="" w:asciiTheme="minorHAnsi" w:cstheme="minorBidi" w:eastAsiaTheme="minorHAnsi" w:hAnsiTheme="minorHAnsi"/>
      <w:color w:val="000000"/>
      <w:sz w:val="22"/>
      <w:szCs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LibreOffice/7.5.1.2$Windows_X86_64 LibreOffice_project/fcbaee479e84c6cd81291587d2ee68cba099e129</Application>
  <AppVersion>15.0000</AppVersion>
  <Pages>3</Pages>
  <Words>777</Words>
  <Characters>5628</Characters>
  <CharactersWithSpaces>6397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2024-11-12T14:52:00Z</dcterms:created>
  <dc:creator>b v</dc:creator>
  <dc:description/>
  <dc:language>ru-RU</dc:language>
  <cp:lastModifiedBy/>
  <dcterms:modified xsi:type="dcterms:W3CDTF">2024-11-12T18:40:34Z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