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28.11.24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Студенты НИЯУ МИФИ смогут проходить производственную практику на объектах проекта «Прорыв»</w:t>
      </w:r>
    </w:p>
    <w:p w:rsidR="00000000" w:rsidDel="00000000" w:rsidP="00000000" w:rsidRDefault="00000000" w:rsidRPr="00000000" w14:paraId="00000009">
      <w:pPr>
        <w:jc w:val="center"/>
        <w:rPr>
          <w:i w:val="1"/>
        </w:rPr>
      </w:pPr>
      <w:r w:rsidDel="00000000" w:rsidR="00000000" w:rsidRPr="00000000">
        <w:rPr>
          <w:i w:val="1"/>
          <w:rtl w:val="0"/>
        </w:rPr>
        <w:t xml:space="preserve">Соглашение о сотрудничестве было подписано на IV Конгрессе молодых </w:t>
      </w:r>
      <w:r w:rsidDel="00000000" w:rsidR="00000000" w:rsidRPr="00000000">
        <w:rPr>
          <w:i w:val="1"/>
          <w:rtl w:val="0"/>
        </w:rPr>
        <w:t xml:space="preserve">учёных</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27 ноября на Конгрессе молодых </w:t>
      </w:r>
      <w:r w:rsidDel="00000000" w:rsidR="00000000" w:rsidRPr="00000000">
        <w:rPr>
          <w:rtl w:val="0"/>
        </w:rPr>
        <w:t xml:space="preserve">учёных</w:t>
      </w:r>
      <w:r w:rsidDel="00000000" w:rsidR="00000000" w:rsidRPr="00000000">
        <w:rPr>
          <w:rtl w:val="0"/>
        </w:rPr>
        <w:t xml:space="preserve">, который стартовал на федеральной территории «Сириус», руководители АО «Прорыв» (организация госкорпорации «Росатом») и Национального ядерного исследовательского университета «МИФИ» (НИЯУ МИФИ, один из опорных вузов «Росатома») подписали соглашение о сотрудничестве.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Свои подписи под документом поставили генеральный директор АО «Прорыв» Дмитрий Евланов и ректор НИЯУ МИФИ Владимир Шевченко.</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Соглашение предусматривает консолидацию научного и образовательного потенциалов вуза и инновационного проекта «Прорыв», совершенствование учебных программ для подготовки нового поколения специалистов-атомщиков и усиление мер поддержки талантливых студентов и молодых </w:t>
      </w:r>
      <w:r w:rsidDel="00000000" w:rsidR="00000000" w:rsidRPr="00000000">
        <w:rPr>
          <w:rtl w:val="0"/>
        </w:rPr>
        <w:t xml:space="preserve">учёных</w:t>
      </w:r>
      <w:r w:rsidDel="00000000" w:rsidR="00000000" w:rsidRPr="00000000">
        <w:rPr>
          <w:rtl w:val="0"/>
        </w:rPr>
        <w:t xml:space="preserve">. Стороны намерены проводить совместные НИОКР, организовывать на базе НИЯУ МИФИ научно-технические лаборатории, вовлекать студентов, аспирантов и молодых </w:t>
      </w:r>
      <w:r w:rsidDel="00000000" w:rsidR="00000000" w:rsidRPr="00000000">
        <w:rPr>
          <w:rtl w:val="0"/>
        </w:rPr>
        <w:t xml:space="preserve">учёных</w:t>
      </w:r>
      <w:r w:rsidDel="00000000" w:rsidR="00000000" w:rsidRPr="00000000">
        <w:rPr>
          <w:rtl w:val="0"/>
        </w:rPr>
        <w:t xml:space="preserve"> университета в научно-производственную деятельность в рамках реализации задач создания технологий и объектов атомной энергетики будущего. На базе университета, при участии экспертов проекта «Прорыва», будут разработаны и дополнены образовательные программы профессиональной подготовки (бакалавриата, специалитета, магистратуры) и повышения квалификации, создан механизм прохождения практик и стажировок, диссертационные советы по присуждению </w:t>
      </w:r>
      <w:r w:rsidDel="00000000" w:rsidR="00000000" w:rsidRPr="00000000">
        <w:rPr>
          <w:rtl w:val="0"/>
        </w:rPr>
        <w:t xml:space="preserve">учёных</w:t>
      </w:r>
      <w:r w:rsidDel="00000000" w:rsidR="00000000" w:rsidRPr="00000000">
        <w:rPr>
          <w:rtl w:val="0"/>
        </w:rPr>
        <w:t xml:space="preserve"> степеней. Соглашение также предусматривает подбор успешных выпускников НИЯУ МИФИ для трудоустройства в организации, участвующие в реализации проекта «Прорыв».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«Мы считаем, что для многих наших выпускников проект “Прорыв” станет делом их жизни. Я надеюсь, что со временем они смогут занять в нем ключевые позиции, – отметил Владимир Шевченко. – Данный проект призван стать </w:t>
      </w:r>
      <w:r w:rsidDel="00000000" w:rsidR="00000000" w:rsidRPr="00000000">
        <w:rPr>
          <w:rtl w:val="0"/>
        </w:rPr>
        <w:t xml:space="preserve">референтным</w:t>
      </w:r>
      <w:r w:rsidDel="00000000" w:rsidR="00000000" w:rsidRPr="00000000">
        <w:rPr>
          <w:rtl w:val="0"/>
        </w:rPr>
        <w:t xml:space="preserve"> образцом замкнутого топливного цикла, который “Росатом” сможет не только масштабировать внутри нашей страны, но и предлагать на внешнем рынке. Нет никаких сомнений, что тематика замкнутого топливного цикла – это стратегическое направление развития атомной энергетики, а значит подготовка кадров для проектов замкнутого цикла у нас в МИФИ как главного ядерного университета страны будет приобретать все более и более значимый характер. Мы уже адаптируем наши учебные программы под потребности этих проектов, и стараемся, чтобы студенты посещали такие производственные площадки, получая живое впечатление от этих грандиозных начинаний».</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Дмитрий Евланов подчеркнул, что соглашение станет крепкой основой для практического взаимодействия науки, образования и промышленности: «В рамках нашего сотрудничества с НИЯУ МИФИ приоритетное внимание будет уделено формированию долгосрочной программы подготовки высококвалифицированных кадров для новой атомной энергетики, ориентации совместных результатов научных исследований на ускоренное внедрение на объектах проектного направления “Прорыв”. Уверен, такое партнерство повысит эффективность нашей деятельности в достижении общих целей обеспечения национального технологического суверенитета».</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Справка: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АО «Прорыв» выполняет функции интегратора в рамках реализации задач проекта «Прорыв», который реализуется госкорпорацией «Росатом» и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 Такая технология позволит исключить тяжелые аварии на АЭС, исключить эвакуацию и отселение населения при возникновении аварий на энергоблоке, вырабатывать электроэнергию без накопления облученного ядерного топлива и многократно повторно использовать отработавшее ядерное топливо, что снимет проблему ограниченности ресурсной базы атомной энергетики. В рамках проекта в городе Северск Томской области на площадке Сибирского химического комбината (АО «СХК») создается опытно-демонстрационный энергокомплекс (ОДЭК), который позволит отработать технологии, продемонстрировать замыкание ядерного топливного цикла и сделать первый шаг в построении атомной энергетики нового поколения.</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Национальный исследовательский ядерный университет «Московский инженерно-физический институт» – один из лучших технических вузов России. Осуществляет подготовку элитных специалистов для науки, ИТ и других высокотехнологичных секторов экономики. НИЯУ МИФИ – стратегический партнер и базовый вуз госкорпорации «Росатом» для кадрового и научно-инновационного обеспечения атомной отрасли. Университет состоит из 11 институтов, имеет современную научно-исследовательскую инфраструктуру: лаборатории, библиотеку и технопарк. По 29 направлениям подготовки в вузе проходят обучение тысячи студентов под руководством лучших преподавателей и ученых страны.</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IV Конгресс молодых ученых проходит с 27 по 29 ноября 2024 года на федеральной территории «Сириус», – ключевое ежегодное мероприятие Десятилетия науки и технологий в России, объявленного Президентом Российской Федерации Владимиром Путиным в 2022-2031 годах. Организаторами конгресса молодых ученых выступили Фонд «</w:t>
      </w:r>
      <w:r w:rsidDel="00000000" w:rsidR="00000000" w:rsidRPr="00000000">
        <w:rPr>
          <w:rtl w:val="0"/>
        </w:rPr>
        <w:t xml:space="preserve">Росконгресс</w:t>
      </w:r>
      <w:r w:rsidDel="00000000" w:rsidR="00000000" w:rsidRPr="00000000">
        <w:rPr>
          <w:rtl w:val="0"/>
        </w:rPr>
        <w:t xml:space="preserve">», Министерство науки и высшего образования Российской Федерации, Координационный совет по делам молодежи в научной и образовательной сферах Совета при Президенте Российской Федерации по науке и образованию. Мероприятие объединило ярких лидеров отечественной науки, представителей ведущих научных школ из разных регионов России, научных и образовательных организаций, органов власти, индустриальных партнеров, представителей бизнеса и госкорпораций, а главное – молодых ученых, победителей конкурсов, грантов, студентов и школьников из России и других стран. </w:t>
      </w:r>
      <w:hyperlink r:id="rId9">
        <w:r w:rsidDel="00000000" w:rsidR="00000000" w:rsidRPr="00000000">
          <w:rPr>
            <w:color w:val="0563c1"/>
            <w:u w:val="single"/>
            <w:rtl w:val="0"/>
          </w:rPr>
          <w:t xml:space="preserve">конгресс.наука.рф</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Создание возможностей для молодежи является одним из основных приоритетов государства. Правительство РФ и крупные российские компании уделяют большое внимание планомерной работе по раскрытию потенциала подрастающего поколения. Организации уделяют большое внимание работе с молодыми сотрудниками, школьниками и студентами, которые в скором времени могут стать их работниками, создаются специализированные образовательные программ. «Росатом» и его предприятия принимают активное участие в этой работе.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xn--c1aenmeoia.xn--80aa3ak5a.xn--p1a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inU88+iX5jDyOzJ4np3acolLAQ==">CgMxLjA4AHIhMVEwT01MM0ZVSjRIaHlZc25RYXg1UWZuMUFDQXdyc3Z5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2024-11-28T07:06:00Z</dcterms:created>
  <dc:creator>b v</dc:creator>
</cp:coreProperties>
</file>