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15.11.24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participates in the International Conference on Nuclear Science, Technology, and Applications ICONSTA 2024 in Indonesia</w:t>
      </w:r>
    </w:p>
    <w:p w:rsidR="00000000" w:rsidDel="00000000" w:rsidP="00000000" w:rsidRDefault="00000000" w:rsidRPr="00000000" w14:paraId="0000000C">
      <w:pPr>
        <w:jc w:val="center"/>
        <w:rPr>
          <w:i w:val="1"/>
        </w:rPr>
      </w:pPr>
      <w:r w:rsidDel="00000000" w:rsidR="00000000" w:rsidRPr="00000000">
        <w:rPr>
          <w:i w:val="1"/>
          <w:rtl w:val="0"/>
        </w:rPr>
        <w:t xml:space="preserve">The conference, held on November 13–14 in Jakarta, brought together representatives from government organizations, the business community, and universities across Indonesia</w:t>
      </w:r>
    </w:p>
    <w:p w:rsidR="00000000" w:rsidDel="00000000" w:rsidP="00000000" w:rsidRDefault="00000000" w:rsidRPr="00000000" w14:paraId="0000000D">
      <w:pPr>
        <w:jc w:val="center"/>
        <w:rPr>
          <w:i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representative of Rosatom participated in the annual International Conference on Nuclear Science, Technology, and Applications ICONSTA 2024 in Indonesia. The event was organized by the Indonesian Nuclear Society (HIMNI) and the National Research and Innovation Agency (BRIN). This year's theme was “Challenges and Opportunities of Nuclear Science and Technology for a Promising Future.”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Anna Belokoneva, Head of Rosatom Regional Office for Indonesia, spoke at the plenary session, presenting the corporation’s key nuclear energy solutions and outlining the potential impact of nuclear power plant construction on the country's socio-economic and technological development.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“Rosatom has a proven track record in implementing nuclear energy projects worldwide. The construction of nuclear power plants consistently drives the development of a country’s industry, education, and science while improving the quality of life for its citizens. We are ready to share Rosatom’s expertise in developing nuclear education, raising public acceptance, and establishing nuclear infrastructure. We would be delighted if our experience proves valuable for Indonesia as it advances its nuclear energy program,” said Anna Belokoneva.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Indonesian speakers presented the country’s plans for nuclear energy development. Participants showed significant interest in the potential timelines for implementing energy solutions in the region, particularly in light of Indonesia’s commitment to achieving carbon neutrality by 2060.</w:t>
      </w:r>
    </w:p>
    <w:p w:rsidR="00000000" w:rsidDel="00000000" w:rsidP="00000000" w:rsidRDefault="00000000" w:rsidRPr="00000000" w14:paraId="00000015">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Ziv53REXEDV2rfS2r3TNqnap8g==">CgMxLjA4AHIhMUJnM1V1YkYwZFB4dVJkUVVQb0d5WEhtZE9mZFByYnYx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2024-11-19T13:47:00Z</dcterms:created>
  <dc:creator>b v</dc:creator>
</cp:coreProperties>
</file>