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02.10.24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Rosatomflot Hosts Northern Sea Route Transit Development Meeting</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Igor Levitin, advisor to the Russian President and Vice Chairperson of the Russian Maritime Board, attended the meeting.</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September 30, Rosatomflot hosted a Northern Sea Route transit development meeting in Murmansk. The attendees learned about the capabilities of the Marine Operations Headquarters, Northern Sea Route Directorate (GlavSevmorput) in safe and fast navigation management across the Northern Sea Route. The speakers showcased this year’s challenging ice navigation cases, such as the voyage of Flying Fish 1, the largest container ship to take the Route ever, as well as reported on the current ice situation, and demonstrated the current locations of the icebreakers. Capt. Konstantib Kelarev joined the video conference from his versatile nuclear icebreaker Sibir. </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This Atomflot event was attended by Igor Levitin, advisor to the Russian President and Vice Chairperson of the Russian Maritime Board; Vladimir Panov, Special Representative for Arctic Development, Rosatom State Corporation; Ekaterina Lyakhova, Director for Business Development, Rosatom State Corporation; Petr Ivanov, CEO, Rosatom Logistics and President of FESCO Transportation Group; and representatives of DP World, Dubai, UAE. </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b w:val="1"/>
        </w:rPr>
      </w:pPr>
      <w:r w:rsidDel="00000000" w:rsidR="00000000" w:rsidRPr="00000000">
        <w:rPr>
          <w:b w:val="1"/>
          <w:rtl w:val="0"/>
        </w:rPr>
        <w:t xml:space="preserve">For reference: </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In 2018, the Russian Government authorized Rosatom as the infrastructure operator of the Northern Sea Route (NSR). The corporation supervises the federal project Development of the Northern Sea Route, as well as takes part in implementing the Northern Sea Route Development Plan until 2035 and the initiative for socio-economic development of the Russian Federation until 2030 All-Year-Round Northern Sea Route approved by the Russian Government. One of Rosatom’s strategic objectives is to make the NSR an efficient passage connecting Europe, Russia, and the Asia Pacific. A federal project is currently being prepared to develop the Great Northern Sea Route – a transport corridor from St. Petersburg and Kaliningrad to Vladivostok.</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sz w:val="28"/>
          <w:szCs w:val="28"/>
        </w:rPr>
      </w:pPr>
      <w:r w:rsidDel="00000000" w:rsidR="00000000" w:rsidRPr="00000000">
        <w:rPr>
          <w:rtl w:val="0"/>
        </w:rPr>
        <w:t xml:space="preserve">The comprehensive development of Russia’s Arctic territories is a strategic priority for the Russian State. It is essential to intensify the NSR transportation for accomplishing the assigned tasks. To expand this freight corridor, we are implementing regular cargo services, building new nuclear icebreakers, and updating the infrastructure. Rosatom’s companies are contributing heavily to this.</w:t>
      </w: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pfxf/IMQlus+rPFzj8CSgi8hYg==">CgMxLjA4AHIhMVBTWUk3blNlOUdBY09xYWRsd1FyS1VhSFVWUzBvT2Vi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