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16.10.24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и Росстандарт утвердили план по разработке стандартов для программно-аппаратных комплексов критической информационной инфраструктуры</w:t>
      </w:r>
    </w:p>
    <w:p w:rsidR="00000000" w:rsidDel="00000000" w:rsidP="00000000" w:rsidRDefault="00000000" w:rsidRPr="00000000" w14:paraId="00000009">
      <w:pPr>
        <w:jc w:val="center"/>
        <w:rPr>
          <w:i w:val="1"/>
        </w:rPr>
      </w:pPr>
      <w:r w:rsidDel="00000000" w:rsidR="00000000" w:rsidRPr="00000000">
        <w:rPr>
          <w:i w:val="1"/>
          <w:rtl w:val="0"/>
        </w:rPr>
        <w:t xml:space="preserve">Подписание соответствующей программы состоялось в рамках Российской недели стандартизации в Санкт-Петербурге</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Госкорпорация «Росатом» и Росстандарт утвердили план реализации Перспективной программы стандартизации программно-аппаратного обеспечения на период до 2028 года. Документ в рамках международного технологического форума «Российская неделя стандартизации» подписали директор по технологическому развитию госкорпорации «Росатом» Андрей Шевченко и глава Росстандарта Антон Шалаев.</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Разработка программы ведется с участием научно-производственного объединения, входящего в контур госкорпорации «Росатом», а также 15 профильных технических комитетов по стандартизации. Совокупно будут разработаны 139 стандартов, которые обеспечат предъявление согласованных и современных требований к решениям, создаваемым для критической информационной инфраструктуры (</w:t>
      </w:r>
      <w:r w:rsidDel="00000000" w:rsidR="00000000" w:rsidRPr="00000000">
        <w:rPr>
          <w:rtl w:val="0"/>
        </w:rPr>
        <w:t xml:space="preserve">КИИ</w:t>
      </w:r>
      <w:r w:rsidDel="00000000" w:rsidR="00000000" w:rsidRPr="00000000">
        <w:rPr>
          <w:rtl w:val="0"/>
        </w:rPr>
        <w:t xml:space="preserve">), будут способствовать процессу импортозамещения программно-аппаратных комплексов (ПАК) и повышению конкурентоспособности отечественной продукции.</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Программа сформирована в целях содействия переходу субъектов КИИ на преимущественное применение доверенных ПАК на принадлежащих им объектах. Она основана на принципе комплексной стандартизации взаимосвязанных объектов и охватывает в том числе стандарты на ПАК, автоматизированные системы управления технологическими процессами, радиоэлектронную продукцию и электронную компонентную базу для ПАК и прикладные инновационные решения для КИИ.</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«В настоящее время российские компании приступили к реализации мероприятий по замещению импортного оборудования, разработке и производству доверенных ПАК и их компонентов. Без установления соответствующих единых для всех требований невозможно провести ряд необходимых испытаний и тестирований, организовать масштабное производство совместимых продуктов, оценить соответствие продукции установленным требованиям технологической независимости в целях допуска на рынок и применения на значимых объектах КИИ», – отметил директор по технологическому развитию госкорпорации «Росатом» Андрей Шевченко.</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Андрей Шевченко также принял участие в пленарной сессии форума «Стандартизация для достижения национальных целей развития Российской Федерации». Среди ее участников были руководитель Росстандарта Антон Шалаев, член Коллегии по техническому регулированию ЕЭК Валентин Татарицкий, председатель Государственного комитета по стандартизации Республики Беларусь Елена Моргунова и другие.</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Госкорпорация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является национальным лидером в производстве электроэнергии (около 20 % от общей выработки) и занимает первое место в мире по величине портфеля заказов на сооружение АЭС: на разной стадии реализации находятся 39 энергоблоков (включая шесть блоков малой мощности) в 10 странах. В сферу деятельности «Росатома» входит также производство инновационной неядерной продукции, логистика и развитие Северного морского пути, реализация экологических проектов. Госкорпорация объединяет более 450 предприятий и организаций, в которых работают свыше 350 тысяч человек.</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Международный технологический форум «Российская неделя стандартизации» – ключевое мероприятие в области стандартизации, где традиционно участники обсуждают развитие международной, региональной и национальной стандартизации. В частности, в повестку были включены вопросы цифровой трансформации системы стандартизации, цифрового технического регулирования, внедрения зеленых стандартов в строительстве и в рамках реализации климатической повестки, ключевые вопросы развития индустрии детских товаров, продовольственная безопасность, а также вопросы стандартизации в сфере строительства.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3qEHGzfMykDO/dGW1Jk24lvXhw==">CgMxLjA4AHIhMWtJNC1SaWEyeWtXY2dSbjQ2dXhHNXV2TnVfamVLaGla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2024-10-16T09:29:00Z</dcterms:created>
  <dc:creator>b v</dc:creator>
</cp:coreProperties>
</file>