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01.10.24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базе Росатомфлота прошло совещание по развитию транзита по Северному морскому пути</w:t>
      </w:r>
    </w:p>
    <w:p w:rsidR="00000000" w:rsidDel="00000000" w:rsidP="00000000" w:rsidRDefault="00000000" w:rsidRPr="00000000" w14:paraId="00000009">
      <w:pPr>
        <w:jc w:val="center"/>
        <w:rPr>
          <w:i w:val="1"/>
        </w:rPr>
      </w:pPr>
      <w:r w:rsidDel="00000000" w:rsidR="00000000" w:rsidRPr="00000000">
        <w:rPr>
          <w:i w:val="1"/>
          <w:rtl w:val="0"/>
        </w:rPr>
        <w:t xml:space="preserve">В нем принял участие советник Президента РФ, заместитель председателя Морской коллегии Российской Федерации Игорь Левитин</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30 сентября в Мурманске, на базе ФГУП «Атомфлот», прошло совещание по развитию транзита по Северному морскому пути. Его участникам были продемонстрированы технологические возможности работы Штаба морских операций ФГБУ «ГлавСевморпуть» в части управления судоходством – связанные с безопасностью и оперативностью проводки судов в акватории Севморпути. Были приведены примеры сложных проводок во льдах в этом году, в том числе проводка самого большого в истории трассы контейнеровоза «Flying Fish 1», озвучена текущая ледовая обстановка в акватории, показана расстановка ледоколов. Также на вопросы участников совещания с борта серийного универсального атомного ледокола «Сибирь» по видеосвязи ответил капитан ледокола Константин Келарев.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мероприятии на «Атомфлоте» приняли участие: советник Президента Российской Федерации, заместитель председателя Морской коллегии Российской Федерации Игорь Левитин, специальный представитель по вопросам развития Арктики госкорпорации «Росатом» Владимир Панов, директор по развитию бизнеса госкорпорации Екатерина Ляхова, генеральный директор «Росатом Логистика» и президент Транспортной группы FESCO Петр Иванов, представители компании «Ди Пи Уорлд» (DP World, Дубай, ОАЭ).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Справка: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В 2018 году Правительство РФ наделило «Росатом»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транспортный коридор от Санкт-Петербурга и Калининграда до Владивостока.</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rsidR="00000000" w:rsidDel="00000000" w:rsidP="00000000" w:rsidRDefault="00000000" w:rsidRPr="00000000" w14:paraId="00000014">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5QJ1eCbaErDCafYe32STQVHg==">CgMxLjAyCGguZ2pkZ3hzOAByITFsMEZldlRSbWcwNzJwQm1NLTg5cGRGLUlxSTE2UGRrOQ==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2024-10-01T13:42:00Z</dcterms:created>
  <dc:creator>b v</dc:creator>
</cp:coreProperties>
</file>