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31.10.24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примет участие в IV Конгрессе молодых ученых в Сочи</w:t>
      </w:r>
    </w:p>
    <w:p w:rsidR="00000000" w:rsidDel="00000000" w:rsidP="00000000" w:rsidRDefault="00000000" w:rsidRPr="00000000" w14:paraId="00000009">
      <w:pPr>
        <w:jc w:val="center"/>
        <w:rPr>
          <w:i w:val="1"/>
        </w:rPr>
      </w:pPr>
      <w:r w:rsidDel="00000000" w:rsidR="00000000" w:rsidRPr="00000000">
        <w:rPr>
          <w:i w:val="1"/>
          <w:rtl w:val="0"/>
        </w:rPr>
        <w:t xml:space="preserve">Госкорпорация выступит титульным партнером мероприятия</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Госкорпорация «Росатом» в четвертый раз выступит титульным партнером проведения Конгресса молодых ученых, который пройдет с 27 по 29 ноября 2024 года в Сочи. Это ключевое событие Десятилетия науки и технологий.</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Участие в конгрессе примет делегация молодых ученых, экспертов и руководителей госкорпорации во главе с генеральным директором Алексеем Лихачевым.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При поддержке департамента научно-технических программ и проектов «Росатома» и АО «Прорыв» пройдет панельная сессия «Технологическое лидерство: новые горизонты». На ней обсудят ключевые задачи реализации национального проекта «Новые атомные и энергетические технологии», который позволит продолжить уникальные научные проекты, развивать нормативную базу, а также поделятся опытом подготовки кадров для высокотехнологичных компаний, кооперации между крупными корпорациями, наукой и регионами.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Тему кадров затронут и на другой сессии – «Профессии будущего: квантовые технологии и рынок труда», которая пройдет при поддержке компании «Росатом Квантовые технологии». Участники обсудят проблему подготовки специалистов, которые смогут обеспечить разработку, внедрение и развитие новых и будущих технологий, в том числе квантовых.</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Ученые госкорпорации также станут участниками сессии «Как из фундаментальных знаний сделать технологию мирового уровня». Они поделятся своим мнением, в чем состоит польза фундаментальной науки.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На сессии «Катализатор медицины будущего: как новые технологии изменят жизнь людей» участники от «Росатома» расскажут о ядерных инновационных технологиях, над которыми сегодня работают и которые будут доступны массовому потребителю в обозримом будущем. Они также поделятся своим видением, как с помощью кооперации науки, производства и государства можно достичь технологического суверенитета.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На сессии «Искусственное Солнце на Земле: когда наступит эра термояда» китайские и российские ученые, в том числе из «Росатома», обсудят национальные и международные проекты в области управляемого термоядерного синтеза, а также основные вызовы, которые мешают перейти к промышленной эксплуатации термоядерных реакторов.</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Частью деловой программы мероприятия станет также панельная сессия, приуроченная к 80-летию атомной промышленности (будет отмечаться в 2025 году).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За три дня конгресса на стенде «Росатома» запланировано более 30 тематических сессий и лекций, во время которых эксперты расскажут о перспективных технологиях, которые уже сегодня меняют мир к лучшему: искусственном интеллекте, энергосистемах IV поколения, АЭС малой мощности и пр. Молодые ученые смогут узнать о грантах и других мерах поддержки государства и корпораций. Во время мастер-классов участников научат формировать полезные связи, а также создавать контент, который поможет в формировании личного бренда. Студенты «МГУ Саров» (образовательное ядро Национального центра физики и математики, </w:t>
      </w:r>
      <w:r w:rsidDel="00000000" w:rsidR="00000000" w:rsidRPr="00000000">
        <w:rPr>
          <w:rtl w:val="0"/>
        </w:rPr>
        <w:t xml:space="preserve">НЦФМ</w:t>
      </w:r>
      <w:r w:rsidDel="00000000" w:rsidR="00000000" w:rsidRPr="00000000">
        <w:rPr>
          <w:rtl w:val="0"/>
        </w:rPr>
        <w:t xml:space="preserve">) расскажут об особенностях обучения и жизни на кампусе.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На стенде госкорпорации «Росатом» специалисты проектного направления «Прорыв» представят мультимедийную инсталляцию «Вечный двигатель», демонстрирующую инновационные решения новой технологической платформы атомной энергетики. Также на стенде будет представлен интерактивный арт-объект – визуализация образа будущего квантового компьютера. На стенде у всех гостей конгресса будет возможность узнать о ходе реализации дорожной карты по квантовым вычислениям.</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В рамках вечерней программы в зале «Атом» госкорпорация по сложившейся традиции проведет интеллектуальную игру «Что? Где? Когда?». За главный приз сразятся шесть команд: сборная участников конгресса, специалисты «Росатома», </w:t>
      </w:r>
      <w:r w:rsidDel="00000000" w:rsidR="00000000" w:rsidRPr="00000000">
        <w:rPr>
          <w:rtl w:val="0"/>
        </w:rPr>
        <w:t xml:space="preserve">НЦФМ</w:t>
      </w:r>
      <w:r w:rsidDel="00000000" w:rsidR="00000000" w:rsidRPr="00000000">
        <w:rPr>
          <w:rtl w:val="0"/>
        </w:rPr>
        <w:t xml:space="preserve">, институтов РАН, Координационного совета по делам молодежи в научной и образовательной сферах при Президенте РФ и Национального исследовательского ядерного университета (НИЯУ) МИФИ (опорный вуз «Росатома»).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Справка:</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Конгресс молодых ученых – ключевое ежегодное мероприятие Десятилетия науки и технологий в России, объявленного Президентом РФ Владимиром Путиным в 2022-2031 годах. Организаторами мероприятия выступают Министерство науки и высшего образования Российской Федерации, Координационный совет по делам молодежи в научной и образовательной сферах Совета при Президенте РФ по науке и образованию и Фонд «</w:t>
      </w:r>
      <w:r w:rsidDel="00000000" w:rsidR="00000000" w:rsidRPr="00000000">
        <w:rPr>
          <w:rtl w:val="0"/>
        </w:rPr>
        <w:t xml:space="preserve">Росконгресс</w:t>
      </w:r>
      <w:r w:rsidDel="00000000" w:rsidR="00000000" w:rsidRPr="00000000">
        <w:rPr>
          <w:rtl w:val="0"/>
        </w:rPr>
        <w:t xml:space="preserve">». Конгресс объединяет ярких лидеров отечественной науки, представителей ведущих научных школ из разных регионов России, научных и образовательных организаций, органов власти, индустриальных партнеров, представителей бизнеса и госкорпораций, а главное – молодых ученых, победителей конкурсов, грантов, студентов и школьников из России и других стран. Главная тема в этом году сформулирована так: «Приоритеты научно-технологического развития: создаем будущее сегодня». Программа ориентирована на расширение международного научного сотрудничества и объединение усилий ученых для решения глобальных задач. Участники конгресса обсудят новые технологии, ответы на глобальные мировые вызовы, наукоемкий бизнес, развитие научного потенциала и международной научной коммуникации, реализацию инициатив Десятилетия науки и технологий. </w:t>
      </w:r>
      <w:hyperlink r:id="rId9">
        <w:r w:rsidDel="00000000" w:rsidR="00000000" w:rsidRPr="00000000">
          <w:rPr>
            <w:color w:val="0563c1"/>
            <w:u w:val="single"/>
            <w:rtl w:val="0"/>
          </w:rPr>
          <w:t xml:space="preserve">конгресс.наука.рф</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Национальный центр физики и математики (</w:t>
      </w:r>
      <w:r w:rsidDel="00000000" w:rsidR="00000000" w:rsidRPr="00000000">
        <w:rPr>
          <w:rtl w:val="0"/>
        </w:rPr>
        <w:t xml:space="preserve">НЦФМ</w:t>
      </w:r>
      <w:r w:rsidDel="00000000" w:rsidR="00000000" w:rsidRPr="00000000">
        <w:rPr>
          <w:rtl w:val="0"/>
        </w:rPr>
        <w:t xml:space="preserve">) – флагманский проект инициативы по открытию в России новой научно-исследовательской инфраструктуры, одна из ключевых инициатив Десятилетия науки и технологий. Центр создается в г. Сарове Нижегородской области. Учредители </w:t>
      </w:r>
      <w:r w:rsidDel="00000000" w:rsidR="00000000" w:rsidRPr="00000000">
        <w:rPr>
          <w:rtl w:val="0"/>
        </w:rPr>
        <w:t xml:space="preserve">НЦФМ</w:t>
      </w:r>
      <w:r w:rsidDel="00000000" w:rsidR="00000000" w:rsidRPr="00000000">
        <w:rPr>
          <w:rtl w:val="0"/>
        </w:rPr>
        <w:t xml:space="preserve"> – Министерство науки и высшего образования Российской Федерации, РАН, госкорпорация «Росатом», Московский государственный университет им. М.В. Ломоносова, НИЦ «Курчатовский институт» и другие организации. На территории </w:t>
      </w:r>
      <w:r w:rsidDel="00000000" w:rsidR="00000000" w:rsidRPr="00000000">
        <w:rPr>
          <w:rtl w:val="0"/>
        </w:rPr>
        <w:t xml:space="preserve">НЦФМ</w:t>
      </w:r>
      <w:r w:rsidDel="00000000" w:rsidR="00000000" w:rsidRPr="00000000">
        <w:rPr>
          <w:rtl w:val="0"/>
        </w:rPr>
        <w:t xml:space="preserve"> возводится комплекс из научно-исследовательских корпусов, передовых лабораторий и установок класса «</w:t>
      </w:r>
      <w:r w:rsidDel="00000000" w:rsidR="00000000" w:rsidRPr="00000000">
        <w:rPr>
          <w:rtl w:val="0"/>
        </w:rPr>
        <w:t xml:space="preserve">мидисайенс</w:t>
      </w:r>
      <w:r w:rsidDel="00000000" w:rsidR="00000000" w:rsidRPr="00000000">
        <w:rPr>
          <w:rtl w:val="0"/>
        </w:rPr>
        <w:t xml:space="preserve">» и «</w:t>
      </w:r>
      <w:r w:rsidDel="00000000" w:rsidR="00000000" w:rsidRPr="00000000">
        <w:rPr>
          <w:rtl w:val="0"/>
        </w:rPr>
        <w:t xml:space="preserve">мегасайенс</w:t>
      </w:r>
      <w:r w:rsidDel="00000000" w:rsidR="00000000" w:rsidRPr="00000000">
        <w:rPr>
          <w:rtl w:val="0"/>
        </w:rPr>
        <w:t xml:space="preserve">». Научную кооперацию </w:t>
      </w:r>
      <w:r w:rsidDel="00000000" w:rsidR="00000000" w:rsidRPr="00000000">
        <w:rPr>
          <w:rtl w:val="0"/>
        </w:rPr>
        <w:t xml:space="preserve">НЦФМ</w:t>
      </w:r>
      <w:r w:rsidDel="00000000" w:rsidR="00000000" w:rsidRPr="00000000">
        <w:rPr>
          <w:rtl w:val="0"/>
        </w:rPr>
        <w:t xml:space="preserve"> сегодня составляют 55 научных организаций, вузов и высокотехнологичных компаний со всей России. Образовательной частью Национального центра стал филиал МГУ им. М.В. Ломоносова – «МГУ Саров», где учатся около сотни магистрантов и аспирантов со всей страны. Основные цели Национального центра – получение новых научных результатов мирового уровня, подготовка </w:t>
      </w:r>
      <w:r w:rsidDel="00000000" w:rsidR="00000000" w:rsidRPr="00000000">
        <w:rPr>
          <w:rtl w:val="0"/>
        </w:rPr>
        <w:t xml:space="preserve">учёных</w:t>
      </w:r>
      <w:r w:rsidDel="00000000" w:rsidR="00000000" w:rsidRPr="00000000">
        <w:rPr>
          <w:rtl w:val="0"/>
        </w:rPr>
        <w:t xml:space="preserve"> высшей квалификации, воспитание новых научно-технологических лидеров, укрепление кадрового потенциала ключевых научных организаций России, повышение привлекательности российской науки для молодых </w:t>
      </w:r>
      <w:r w:rsidDel="00000000" w:rsidR="00000000" w:rsidRPr="00000000">
        <w:rPr>
          <w:rtl w:val="0"/>
        </w:rPr>
        <w:t xml:space="preserve">учёных</w:t>
      </w: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Проект «Прорыв» нацелен на достижение нового качества ядерной энергетики, разработку, создание и промышленную реализацию замкнутого ядерного топливного цикла (ЗЯТЦ) на базе реакторов на быстрых нейтронах. Реализуется госкорпорацией «Росатом» при участии целого ряда отраслевых институтов (ФЭИ им. А.И. Лейпунского, АО «НИКИЭТ», АО «ОКБМ Африкантов» и др.). В рамках «Прорыва» планируется создать ядерно-энергетический комплекс, включающий в себя АЭС; производство по регенерации (переработке) и </w:t>
      </w:r>
      <w:r w:rsidDel="00000000" w:rsidR="00000000" w:rsidRPr="00000000">
        <w:rPr>
          <w:rtl w:val="0"/>
        </w:rPr>
        <w:t xml:space="preserve">рефабрикации</w:t>
      </w:r>
      <w:r w:rsidDel="00000000" w:rsidR="00000000" w:rsidRPr="00000000">
        <w:rPr>
          <w:rtl w:val="0"/>
        </w:rPr>
        <w:t xml:space="preserve"> ядерного топлива. Опытно-демонстрационный энергетический комплекс (</w:t>
      </w:r>
      <w:r w:rsidDel="00000000" w:rsidR="00000000" w:rsidRPr="00000000">
        <w:rPr>
          <w:rtl w:val="0"/>
        </w:rPr>
        <w:t xml:space="preserve">ОДЭК</w:t>
      </w:r>
      <w:r w:rsidDel="00000000" w:rsidR="00000000" w:rsidRPr="00000000">
        <w:rPr>
          <w:rtl w:val="0"/>
        </w:rPr>
        <w:t xml:space="preserve">) возводится на территории СХК (г. Северск, Томская обл.). В его состав войдет энергоблок с реактором БРЕСТ-ОД-300 со свинцовым теплоносителем и пристанционный завод, включающий в себя модуль переработки (МП) облученного смешанного уран-плутониевого (нитридного) топлива и модуль фабрикации/рефабрикации (МФР) для изготовления стартовых твэлов из привозных материалов (а впоследствии – твэлов из переработанного облученного ядерного топлива). Комплекс должен продемонстрировать устойчивую работу объектов, обеспечивающих замыкание ЯТЦ. В 2021 году Ростехнадзор выдал лицензию на возведение реактора БРЕСТ-ОД-300.</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Десятилетие науки и технологий в России объявлено 25 апреля 2022 года Президентом РФ Владимиром Путиным. Его целями названы привлечение молодежи в науку, вовлечение исследователей и разработчиков в решение важных для страны задач, повышение доступности информации о достижениях российской науки для граждан.</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Крупные российские компании уделяют большое внимание поддержке перспективной молодежи. Они способствуют развитию диалога с молодыми сотрудниками, обучению их новым компетенциям. «Росатом» и его предприятия принимают активное участие в этой работе.</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af1">
    <w:name w:val="Plain Text"/>
    <w:basedOn w:val="a"/>
    <w:link w:val="af2"/>
    <w:uiPriority w:val="99"/>
    <w:semiHidden w:val="1"/>
    <w:unhideWhenUsed w:val="1"/>
    <w:rsid w:val="0012259F"/>
    <w:rPr>
      <w:rFonts w:ascii="Consolas" w:hAnsi="Consolas"/>
      <w:sz w:val="21"/>
      <w:szCs w:val="21"/>
    </w:rPr>
  </w:style>
  <w:style w:type="character" w:styleId="af2" w:customStyle="1">
    <w:name w:val="Текст Знак"/>
    <w:basedOn w:val="a0"/>
    <w:link w:val="af1"/>
    <w:uiPriority w:val="99"/>
    <w:semiHidden w:val="1"/>
    <w:rsid w:val="0012259F"/>
    <w:rPr>
      <w:rFonts w:ascii="Consolas" w:hAnsi="Consolas"/>
      <w:sz w:val="21"/>
      <w:szCs w:val="2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xn--c1aenmeoia.xn--80aa3ak5a.xn--p1a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xGBtly53tdxdPtq0HFzNzhVRZg==">CgMxLjA4AHIhMVlZZmdCd2xHZkZ0dFdHZ3RUbGl3UUVMZTh4YmctYnAz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2024-10-31T12:42:00Z</dcterms:created>
  <dc:creator>b v</dc:creator>
</cp:coreProperties>
</file>