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08C61" w14:textId="77777777" w:rsidR="00335986" w:rsidRDefault="00335986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335986" w14:paraId="597CAFC8" w14:textId="77777777">
        <w:tc>
          <w:tcPr>
            <w:tcW w:w="1518" w:type="dxa"/>
          </w:tcPr>
          <w:p w14:paraId="0AA65449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" behindDoc="0" locked="0" layoutInCell="1" allowOverlap="1" wp14:anchorId="1A8701E9" wp14:editId="4861149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9FC2F7D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4AB6A660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</w:tcPr>
          <w:p w14:paraId="5C199427" w14:textId="77777777" w:rsidR="00335986" w:rsidRDefault="008668D4">
            <w:pPr>
              <w:widowControl w:val="0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14:paraId="5C558FDB" w14:textId="3E449553" w:rsidR="00335986" w:rsidRDefault="00BD26B5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668D4">
              <w:rPr>
                <w:sz w:val="28"/>
                <w:szCs w:val="28"/>
              </w:rPr>
              <w:t>.0</w:t>
            </w:r>
            <w:r w:rsidR="006D6595">
              <w:rPr>
                <w:sz w:val="28"/>
                <w:szCs w:val="28"/>
              </w:rPr>
              <w:t>3</w:t>
            </w:r>
            <w:r w:rsidR="008668D4">
              <w:rPr>
                <w:sz w:val="28"/>
                <w:szCs w:val="28"/>
              </w:rPr>
              <w:t>.24</w:t>
            </w:r>
          </w:p>
        </w:tc>
      </w:tr>
    </w:tbl>
    <w:p w14:paraId="58FF8ED8" w14:textId="77777777" w:rsidR="00BD26B5" w:rsidRDefault="00BD26B5" w:rsidP="00BD26B5">
      <w:pPr>
        <w:jc w:val="center"/>
        <w:rPr>
          <w:b/>
          <w:bCs/>
        </w:rPr>
      </w:pPr>
      <w:r w:rsidRPr="00743982">
        <w:rPr>
          <w:b/>
          <w:bCs/>
        </w:rPr>
        <w:t>Достижения и награды</w:t>
      </w:r>
      <w:r>
        <w:rPr>
          <w:b/>
          <w:bCs/>
        </w:rPr>
        <w:t xml:space="preserve"> госкорпорации «Росатом»</w:t>
      </w:r>
      <w:r w:rsidRPr="00743982">
        <w:rPr>
          <w:b/>
          <w:bCs/>
        </w:rPr>
        <w:t xml:space="preserve"> в 2023 году</w:t>
      </w:r>
    </w:p>
    <w:p w14:paraId="248D0679" w14:textId="77777777" w:rsidR="00BD26B5" w:rsidRPr="00743982" w:rsidRDefault="00BD26B5" w:rsidP="00BD26B5">
      <w:pPr>
        <w:jc w:val="center"/>
        <w:rPr>
          <w:b/>
          <w:bCs/>
        </w:rPr>
      </w:pPr>
    </w:p>
    <w:p w14:paraId="5F17E695" w14:textId="204B292F" w:rsidR="00BD26B5" w:rsidRPr="00743982" w:rsidRDefault="00BD26B5" w:rsidP="00BD26B5">
      <w:pPr>
        <w:spacing w:after="160" w:line="259" w:lineRule="auto"/>
      </w:pPr>
      <w:r>
        <w:t xml:space="preserve">В 2023 году </w:t>
      </w:r>
      <w:r w:rsidRPr="00743982">
        <w:t xml:space="preserve">22 сотрудника </w:t>
      </w:r>
      <w:r>
        <w:t xml:space="preserve">«Росатома» </w:t>
      </w:r>
      <w:r w:rsidRPr="00743982">
        <w:t>удостоились государственных наград, 15 работников отмечены наградами Президента Российской Федерации, 329 специалистов представлены к отраслевым наградам.</w:t>
      </w:r>
    </w:p>
    <w:p w14:paraId="32F5D478" w14:textId="77777777" w:rsidR="00BD26B5" w:rsidRPr="00743982" w:rsidRDefault="00BD26B5" w:rsidP="00BD26B5">
      <w:pPr>
        <w:spacing w:after="160" w:line="259" w:lineRule="auto"/>
      </w:pPr>
      <w:r w:rsidRPr="00743982">
        <w:t>Госкорпорация «Росатом» стала победителем XIII премии «Время инноваций» в номинации «Программа года» в категории «Энергетика и энергосбережение» за вклад в социально-экономическое развитие страны и обеспечение 100</w:t>
      </w:r>
      <w:r>
        <w:t xml:space="preserve"> </w:t>
      </w:r>
      <w:r w:rsidRPr="00743982">
        <w:t>% достижения всех показателей результативности комплексной программы «Развитие техники, технологий и научных исследований в области использования атомной энергии в Российской Федерации до 2024 года».</w:t>
      </w:r>
    </w:p>
    <w:p w14:paraId="1BE4E07B" w14:textId="77777777" w:rsidR="00BD26B5" w:rsidRPr="00743982" w:rsidRDefault="00BD26B5" w:rsidP="00BD26B5">
      <w:pPr>
        <w:spacing w:after="160" w:line="259" w:lineRule="auto"/>
      </w:pPr>
      <w:r w:rsidRPr="00743982">
        <w:t xml:space="preserve">В ноябре 2023 года рейтинговое агентство «Эксперт РА» присвоило </w:t>
      </w:r>
      <w:r>
        <w:t>г</w:t>
      </w:r>
      <w:r w:rsidRPr="00743982">
        <w:t>оскорпорации «Росатом» наивысший кредитный рейтинг на уровне ruААА с прогнозом «стабильный» на максимально возможном суверенном уровне.</w:t>
      </w:r>
    </w:p>
    <w:p w14:paraId="36847CD7" w14:textId="77777777" w:rsidR="00BD26B5" w:rsidRPr="00743982" w:rsidRDefault="00BD26B5" w:rsidP="00BD26B5">
      <w:pPr>
        <w:spacing w:after="160" w:line="259" w:lineRule="auto"/>
      </w:pPr>
      <w:r w:rsidRPr="00743982">
        <w:t xml:space="preserve">Российское Аналитическое кредитное рейтинговое агентство (АКРА) повысило оценку </w:t>
      </w:r>
      <w:r>
        <w:t>г</w:t>
      </w:r>
      <w:r w:rsidRPr="00743982">
        <w:t xml:space="preserve">оскорпорации «Росатом» с ESG-3 до ESG-2, категория ESG-АА B, что соответствует очень высокой оценке в области экологии, социальной ответственности и управления. </w:t>
      </w:r>
    </w:p>
    <w:p w14:paraId="13B619C0" w14:textId="77777777" w:rsidR="00BD26B5" w:rsidRPr="00743982" w:rsidRDefault="00BD26B5" w:rsidP="00BD26B5">
      <w:pPr>
        <w:spacing w:after="160" w:line="259" w:lineRule="auto"/>
        <w:rPr>
          <w:b/>
        </w:rPr>
      </w:pPr>
      <w:r w:rsidRPr="00743982">
        <w:rPr>
          <w:b/>
        </w:rPr>
        <w:t xml:space="preserve">Социальная ответственность </w:t>
      </w:r>
    </w:p>
    <w:p w14:paraId="4C06A5D4" w14:textId="77777777" w:rsidR="00BD26B5" w:rsidRPr="00743982" w:rsidRDefault="00BD26B5" w:rsidP="00BD26B5">
      <w:pPr>
        <w:numPr>
          <w:ilvl w:val="0"/>
          <w:numId w:val="7"/>
        </w:numPr>
        <w:suppressAutoHyphens w:val="0"/>
        <w:spacing w:after="160" w:line="259" w:lineRule="auto"/>
      </w:pPr>
      <w:r w:rsidRPr="00743982">
        <w:t xml:space="preserve">Высший статус – «платина» – в рейтинге </w:t>
      </w:r>
      <w:r w:rsidRPr="00743982">
        <w:rPr>
          <w:lang w:val="en-US"/>
        </w:rPr>
        <w:t>Forbes</w:t>
      </w:r>
      <w:r w:rsidRPr="00743982">
        <w:t xml:space="preserve"> лучших работодателей России в 2023 году. </w:t>
      </w:r>
    </w:p>
    <w:p w14:paraId="36149001" w14:textId="77777777" w:rsidR="00BD26B5" w:rsidRPr="00743982" w:rsidRDefault="00BD26B5" w:rsidP="00BD26B5">
      <w:pPr>
        <w:numPr>
          <w:ilvl w:val="0"/>
          <w:numId w:val="7"/>
        </w:numPr>
        <w:suppressAutoHyphens w:val="0"/>
        <w:spacing w:after="160" w:line="259" w:lineRule="auto"/>
      </w:pPr>
      <w:r w:rsidRPr="00743982">
        <w:t xml:space="preserve">Лучшая просветительская компания страны в одноименной номинации премии «Знание.Премия – 2023». </w:t>
      </w:r>
    </w:p>
    <w:p w14:paraId="4DE555F9" w14:textId="77777777" w:rsidR="00BD26B5" w:rsidRPr="00743982" w:rsidRDefault="00BD26B5" w:rsidP="00BD26B5">
      <w:pPr>
        <w:numPr>
          <w:ilvl w:val="0"/>
          <w:numId w:val="7"/>
        </w:numPr>
        <w:suppressAutoHyphens w:val="0"/>
        <w:spacing w:after="160" w:line="259" w:lineRule="auto"/>
      </w:pPr>
      <w:r w:rsidRPr="00743982">
        <w:t>18 золотых медалей (24 награды) на Международном чемпионате высокотехнологичных профессий «Хайтек»</w:t>
      </w:r>
      <w:r>
        <w:t>.</w:t>
      </w:r>
    </w:p>
    <w:p w14:paraId="7220029A" w14:textId="77777777" w:rsidR="00BD26B5" w:rsidRPr="00743982" w:rsidRDefault="00BD26B5" w:rsidP="00BD26B5">
      <w:pPr>
        <w:numPr>
          <w:ilvl w:val="0"/>
          <w:numId w:val="7"/>
        </w:numPr>
        <w:suppressAutoHyphens w:val="0"/>
        <w:spacing w:after="160" w:line="259" w:lineRule="auto"/>
      </w:pPr>
      <w:r w:rsidRPr="00743982">
        <w:t>Победитель ежегодного конкурса кейсов по аналитике социальных медиа «Хрустальный шар» в номинации «Управление HR-брендом» в рамках BrandAnalytics Conference 2023 (Корпоративная Академия «Росатома»).</w:t>
      </w:r>
    </w:p>
    <w:p w14:paraId="5110C348" w14:textId="77777777" w:rsidR="00BD26B5" w:rsidRPr="00743982" w:rsidRDefault="00BD26B5" w:rsidP="00BD26B5">
      <w:pPr>
        <w:numPr>
          <w:ilvl w:val="0"/>
          <w:numId w:val="7"/>
        </w:numPr>
        <w:suppressAutoHyphens w:val="0"/>
        <w:spacing w:after="160" w:line="259" w:lineRule="auto"/>
      </w:pPr>
      <w:r w:rsidRPr="00743982">
        <w:t>Международная премия Eventiada Awards в номинации «Лучший корпоративный бренд» (Корпоративная Академия «Росатома»).</w:t>
      </w:r>
    </w:p>
    <w:p w14:paraId="0B208C62" w14:textId="77777777" w:rsidR="00BD26B5" w:rsidRPr="00743982" w:rsidRDefault="00BD26B5" w:rsidP="00BD26B5">
      <w:pPr>
        <w:numPr>
          <w:ilvl w:val="0"/>
          <w:numId w:val="7"/>
        </w:numPr>
        <w:suppressAutoHyphens w:val="0"/>
        <w:spacing w:after="160" w:line="259" w:lineRule="auto"/>
      </w:pPr>
      <w:r w:rsidRPr="00743982">
        <w:t>Ежегодная премия Digital Communications Awards Ассоциации директоров по коммуникациям и корпоративным медиа России: победитель в номинациях «Digital-медиа &amp; инструменты/корпоративная digital-игра» и «Digital-проекты и стратегии/КСО-коммуникации»</w:t>
      </w:r>
      <w:r>
        <w:t>.</w:t>
      </w:r>
    </w:p>
    <w:p w14:paraId="7AB63C4D" w14:textId="77777777" w:rsidR="00BD26B5" w:rsidRPr="00743982" w:rsidRDefault="00BD26B5" w:rsidP="00BD26B5">
      <w:pPr>
        <w:numPr>
          <w:ilvl w:val="0"/>
          <w:numId w:val="7"/>
        </w:numPr>
        <w:suppressAutoHyphens w:val="0"/>
        <w:spacing w:after="160" w:line="259" w:lineRule="auto"/>
      </w:pPr>
      <w:r w:rsidRPr="00743982">
        <w:lastRenderedPageBreak/>
        <w:t xml:space="preserve">15 руководителей </w:t>
      </w:r>
      <w:r>
        <w:t>госк</w:t>
      </w:r>
      <w:r w:rsidRPr="00743982">
        <w:t>орпорации и предприятий отрасли вошли в Ежегодный управленческий рейтинг «Топ–1000 российских менеджеров» Ассоциации менеджеров и ИД «Коммерсантъ».</w:t>
      </w:r>
    </w:p>
    <w:p w14:paraId="3C3458B9" w14:textId="77777777" w:rsidR="00BD26B5" w:rsidRPr="00743982" w:rsidRDefault="00BD26B5" w:rsidP="00BD26B5">
      <w:pPr>
        <w:numPr>
          <w:ilvl w:val="0"/>
          <w:numId w:val="8"/>
        </w:numPr>
        <w:suppressAutoHyphens w:val="0"/>
        <w:spacing w:after="160" w:line="259" w:lineRule="auto"/>
      </w:pPr>
      <w:r w:rsidRPr="00743982">
        <w:t xml:space="preserve">Сборная </w:t>
      </w:r>
      <w:r>
        <w:t>госк</w:t>
      </w:r>
      <w:r w:rsidRPr="00743982">
        <w:t>орпорации стала обладателем главной награды Кубка по рационализации и производительности и выиграла 18 золотых наград на Чемпионате «Хайтек».</w:t>
      </w:r>
    </w:p>
    <w:p w14:paraId="3F3C89B3" w14:textId="77777777" w:rsidR="00BD26B5" w:rsidRPr="00743982" w:rsidRDefault="00BD26B5" w:rsidP="00BD26B5">
      <w:pPr>
        <w:numPr>
          <w:ilvl w:val="0"/>
          <w:numId w:val="8"/>
        </w:numPr>
        <w:suppressAutoHyphens w:val="0"/>
        <w:spacing w:after="160" w:line="259" w:lineRule="auto"/>
      </w:pPr>
      <w:r w:rsidRPr="00743982">
        <w:t>Получена главная награда Кубка по рационализации и производительности за максимальный результат. В сумме сборная завоевала 6 наград: 3 золотых, 2 серебряных, 1 бронзовую.</w:t>
      </w:r>
    </w:p>
    <w:p w14:paraId="107B5F5D" w14:textId="77777777" w:rsidR="00BD26B5" w:rsidRPr="00743982" w:rsidRDefault="00BD26B5" w:rsidP="00BD26B5">
      <w:pPr>
        <w:numPr>
          <w:ilvl w:val="0"/>
          <w:numId w:val="8"/>
        </w:numPr>
        <w:suppressAutoHyphens w:val="0"/>
        <w:spacing w:after="160" w:line="259" w:lineRule="auto"/>
      </w:pPr>
      <w:r w:rsidRPr="00743982">
        <w:t>На V отраслевом чемпионате профессионального мастерства в сфере информационных технологий DigitalSkills-2023 сборная «Росатом</w:t>
      </w:r>
      <w:r>
        <w:t>а</w:t>
      </w:r>
      <w:r w:rsidRPr="00743982">
        <w:t>» и НИЯУ МИФИ завоевала 18 наград – в международном и общероссийском зачетах: 8 золотых (из них две – в международном зачете), 5 серебряных и 5 бронзовых медалей.</w:t>
      </w:r>
    </w:p>
    <w:p w14:paraId="68062343" w14:textId="77777777" w:rsidR="00BD26B5" w:rsidRPr="00743982" w:rsidRDefault="00BD26B5" w:rsidP="00BD26B5">
      <w:pPr>
        <w:numPr>
          <w:ilvl w:val="0"/>
          <w:numId w:val="8"/>
        </w:numPr>
        <w:suppressAutoHyphens w:val="0"/>
        <w:spacing w:after="160" w:line="259" w:lineRule="auto"/>
      </w:pPr>
      <w:r w:rsidRPr="00743982">
        <w:t xml:space="preserve">На III Международном строительном чемпионате сборная команда </w:t>
      </w:r>
      <w:r>
        <w:t>госк</w:t>
      </w:r>
      <w:r w:rsidRPr="00743982">
        <w:t>орпорации (184 человек</w:t>
      </w:r>
      <w:r>
        <w:t>а</w:t>
      </w:r>
      <w:r w:rsidRPr="00743982">
        <w:t>) заняла 17 призовых мест в 23 номинациях, в том числе 1-е и 2-е места в одной из самых массовых и престижных номинаций – «Лучшая площадка по сооружению».</w:t>
      </w:r>
    </w:p>
    <w:p w14:paraId="4E83AF2F" w14:textId="77777777" w:rsidR="00BD26B5" w:rsidRDefault="00BD26B5" w:rsidP="00BD26B5">
      <w:pPr>
        <w:spacing w:line="259" w:lineRule="auto"/>
      </w:pPr>
      <w:r w:rsidRPr="00743982">
        <w:t xml:space="preserve">В 2023 году социальные проекты </w:t>
      </w:r>
      <w:r>
        <w:t>госк</w:t>
      </w:r>
      <w:r w:rsidRPr="00743982">
        <w:t xml:space="preserve">орпорации и ее организаций получили признание ключевых федеральных премий: международная премия «МыВместе», «ECO Best», «Лучшие социальные проекты России», «Лидеры корпоративной благотворительности», «ESG EXCELLENCE AWARD 2023», «Лучшее для России. Развитие регионов» и др. </w:t>
      </w:r>
    </w:p>
    <w:p w14:paraId="31FBB5F8" w14:textId="77777777" w:rsidR="00BD26B5" w:rsidRPr="00743982" w:rsidRDefault="00BD26B5" w:rsidP="00BD26B5">
      <w:pPr>
        <w:spacing w:line="259" w:lineRule="auto"/>
      </w:pPr>
    </w:p>
    <w:p w14:paraId="2CE482DB" w14:textId="77777777" w:rsidR="00BD26B5" w:rsidRPr="00743982" w:rsidRDefault="00BD26B5" w:rsidP="00BD26B5">
      <w:pPr>
        <w:spacing w:after="160" w:line="259" w:lineRule="auto"/>
        <w:rPr>
          <w:b/>
        </w:rPr>
      </w:pPr>
      <w:r w:rsidRPr="00743982">
        <w:rPr>
          <w:b/>
        </w:rPr>
        <w:t xml:space="preserve">Публичная отчетность и корпоративная прозрачность </w:t>
      </w:r>
    </w:p>
    <w:p w14:paraId="557CCACC" w14:textId="77777777" w:rsidR="00BD26B5" w:rsidRPr="00743982" w:rsidRDefault="00BD26B5" w:rsidP="00BD26B5">
      <w:pPr>
        <w:spacing w:after="160" w:line="259" w:lineRule="auto"/>
      </w:pPr>
      <w:r w:rsidRPr="00743982">
        <w:t xml:space="preserve">В 2023 году «Росатом» четвертый год подряд стал победителем федерального конкурса годовых отчетов, организованного рейтинговым агентством RAEX, в номинации «Лучший годовой отчет». </w:t>
      </w:r>
    </w:p>
    <w:p w14:paraId="2F7CD9A3" w14:textId="77777777" w:rsidR="00BD26B5" w:rsidRPr="00743982" w:rsidRDefault="00BD26B5" w:rsidP="00BD26B5">
      <w:pPr>
        <w:spacing w:after="160" w:line="259" w:lineRule="auto"/>
      </w:pPr>
      <w:r w:rsidRPr="00743982">
        <w:t>«Росатом» стал победителем конкурса Всероссийского конкурса РСПП «Лидеры российского бизнеса: динамика, ответственность, устойчивость – 2022» в номинации «За высокое качество отчетности в области устойчивого развития/ESG».</w:t>
      </w:r>
    </w:p>
    <w:p w14:paraId="63B620C6" w14:textId="77777777" w:rsidR="00BD26B5" w:rsidRPr="00743982" w:rsidRDefault="00BD26B5" w:rsidP="00BD26B5">
      <w:pPr>
        <w:spacing w:after="160" w:line="259" w:lineRule="auto"/>
      </w:pPr>
      <w:r w:rsidRPr="00743982">
        <w:t xml:space="preserve">Госкорпорация «Росатом» подтвердила уровень «А» («Лучшая корпоративная ESG-практика в Российской Федерации») в ESG-Рейтинге устойчивого корпоративного управления 2023 года, который составляется Университетом Перуджи (Италия) совместно с Агентством корпоративного развития «Да-Стратегия». </w:t>
      </w:r>
    </w:p>
    <w:p w14:paraId="5D142E9C" w14:textId="77777777" w:rsidR="00BD26B5" w:rsidRPr="00743982" w:rsidRDefault="00BD26B5" w:rsidP="00BD26B5"/>
    <w:p w14:paraId="5AFF986A" w14:textId="77777777" w:rsidR="00335986" w:rsidRPr="0058155D" w:rsidRDefault="00335986" w:rsidP="00BD26B5">
      <w:pPr>
        <w:jc w:val="center"/>
      </w:pPr>
    </w:p>
    <w:sectPr w:rsidR="00335986" w:rsidRPr="0058155D">
      <w:footerReference w:type="default" r:id="rId10"/>
      <w:pgSz w:w="12240" w:h="15840"/>
      <w:pgMar w:top="454" w:right="1134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1F889" w14:textId="77777777" w:rsidR="00CC625E" w:rsidRDefault="00CC625E">
      <w:r>
        <w:separator/>
      </w:r>
    </w:p>
  </w:endnote>
  <w:endnote w:type="continuationSeparator" w:id="0">
    <w:p w14:paraId="7984ABD4" w14:textId="77777777" w:rsidR="00CC625E" w:rsidRDefault="00CC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CD82" w14:textId="77777777" w:rsidR="00335986" w:rsidRDefault="00335986">
    <w:pPr>
      <w:tabs>
        <w:tab w:val="center" w:pos="4680"/>
        <w:tab w:val="right" w:pos="9360"/>
      </w:tabs>
      <w:rPr>
        <w:color w:val="595959"/>
      </w:rPr>
    </w:pPr>
  </w:p>
  <w:p w14:paraId="5289E598" w14:textId="77777777" w:rsidR="00335986" w:rsidRDefault="00335986">
    <w:pP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67125" w14:textId="77777777" w:rsidR="00CC625E" w:rsidRDefault="00CC625E">
      <w:r>
        <w:separator/>
      </w:r>
    </w:p>
  </w:footnote>
  <w:footnote w:type="continuationSeparator" w:id="0">
    <w:p w14:paraId="41EFF99A" w14:textId="77777777" w:rsidR="00CC625E" w:rsidRDefault="00CC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10CD"/>
    <w:multiLevelType w:val="hybridMultilevel"/>
    <w:tmpl w:val="8CEA7824"/>
    <w:lvl w:ilvl="0" w:tplc="76FAB8F4">
      <w:start w:val="26"/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C70DED"/>
    <w:multiLevelType w:val="multilevel"/>
    <w:tmpl w:val="E9C24CD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369B11B3"/>
    <w:multiLevelType w:val="multilevel"/>
    <w:tmpl w:val="6CF6984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48E714E9"/>
    <w:multiLevelType w:val="multilevel"/>
    <w:tmpl w:val="B63C8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1974184"/>
    <w:multiLevelType w:val="multilevel"/>
    <w:tmpl w:val="2C588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4C316D"/>
    <w:multiLevelType w:val="hybridMultilevel"/>
    <w:tmpl w:val="BC021740"/>
    <w:lvl w:ilvl="0" w:tplc="76FAB8F4">
      <w:start w:val="26"/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9360A2"/>
    <w:multiLevelType w:val="multilevel"/>
    <w:tmpl w:val="ED604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823330"/>
    <w:multiLevelType w:val="multilevel"/>
    <w:tmpl w:val="CEF0497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2130977474">
    <w:abstractNumId w:val="7"/>
  </w:num>
  <w:num w:numId="2" w16cid:durableId="1176071503">
    <w:abstractNumId w:val="1"/>
  </w:num>
  <w:num w:numId="3" w16cid:durableId="1862010777">
    <w:abstractNumId w:val="2"/>
  </w:num>
  <w:num w:numId="4" w16cid:durableId="226185068">
    <w:abstractNumId w:val="3"/>
  </w:num>
  <w:num w:numId="5" w16cid:durableId="299193378">
    <w:abstractNumId w:val="4"/>
  </w:num>
  <w:num w:numId="6" w16cid:durableId="655718392">
    <w:abstractNumId w:val="6"/>
  </w:num>
  <w:num w:numId="7" w16cid:durableId="13575414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542075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86"/>
    <w:rsid w:val="00170E42"/>
    <w:rsid w:val="00222A47"/>
    <w:rsid w:val="003212A4"/>
    <w:rsid w:val="00335986"/>
    <w:rsid w:val="003F1DED"/>
    <w:rsid w:val="004C4BD7"/>
    <w:rsid w:val="00514FF5"/>
    <w:rsid w:val="0058155D"/>
    <w:rsid w:val="0059538F"/>
    <w:rsid w:val="00645167"/>
    <w:rsid w:val="006D6595"/>
    <w:rsid w:val="006E751A"/>
    <w:rsid w:val="008668D4"/>
    <w:rsid w:val="00901B3A"/>
    <w:rsid w:val="009A0D81"/>
    <w:rsid w:val="00A165C8"/>
    <w:rsid w:val="00B405A5"/>
    <w:rsid w:val="00BD26B5"/>
    <w:rsid w:val="00BE2783"/>
    <w:rsid w:val="00C0656F"/>
    <w:rsid w:val="00CB6D07"/>
    <w:rsid w:val="00CC625E"/>
    <w:rsid w:val="00D66D8C"/>
    <w:rsid w:val="00E36089"/>
    <w:rsid w:val="00F237CF"/>
    <w:rsid w:val="00FB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DBA4"/>
  <w15:docId w15:val="{71EAE9DF-AC75-8E4D-B29B-558EDC3C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C56287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56287"/>
  </w:style>
  <w:style w:type="character" w:customStyle="1" w:styleId="a6">
    <w:name w:val="Нижний колонтитул Знак"/>
    <w:basedOn w:val="a0"/>
    <w:link w:val="a7"/>
    <w:uiPriority w:val="99"/>
    <w:qFormat/>
    <w:rsid w:val="00C56287"/>
  </w:style>
  <w:style w:type="character" w:styleId="a8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a9">
    <w:name w:val="Title"/>
    <w:basedOn w:val="a"/>
    <w:next w:val="a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f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B6D07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GhXSHTr1xCglM3AXjVIwSuUy5Q==">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dc:description/>
  <cp:lastModifiedBy>Asus14-1</cp:lastModifiedBy>
  <cp:revision>3</cp:revision>
  <dcterms:created xsi:type="dcterms:W3CDTF">2024-10-11T08:54:00Z</dcterms:created>
  <dcterms:modified xsi:type="dcterms:W3CDTF">2024-10-11T08:55:00Z</dcterms:modified>
  <dc:language>ru-RU</dc:language>
</cp:coreProperties>
</file>