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«Росатом» и Минский тракторный завод договорились о сотрудничестве в сфере робототехники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Оно предусматривает развитие сотрудничества в целях внедрения робототехнического оборудования на предприятии ОАО «МТЗ»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 октября в рамках Белорусского энергетического и экологического форума, проходящего в Минске с 15 по 18 октября 2024 года, «Р</w:t>
      </w:r>
      <w:r>
        <w:rPr/>
        <w:t>о</w:t>
      </w:r>
      <w:r>
        <w:rPr/>
        <w:t>сатом Сервис» (предприятие Электроэнергетического дивизиона госкорпорации «Росатом»), ООО «Русатом Бел» (страновой офис госкорпорации «Росатом») и ОАО «Минский тракторный завод» (Республика Беларусь) подписали дорожную карту сотрудничества в области внедрения робототехнического оборудования.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 «Р</w:t>
      </w:r>
      <w:r>
        <w:rPr/>
        <w:t>о</w:t>
      </w:r>
      <w:r>
        <w:rPr/>
        <w:t xml:space="preserve">сатом Сервис» договор был подписан заместителем генерального директора – техническим директором Алексеем Емельяновым, от ООО «Русатом Бел» – директором Станислав Левицким. Белорусскую сторону представлял первый заместитель генерального директора – технический директор ОАО «МТЗ» Илья Фирков.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Дорожная карта предусматривает развитие сотрудничества в целях внедрения робототехнического оборудования на предприятии ОАО «МТЗ», создание центров компетенций и развития соответствующего кадрового потенциала предприятия.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«Сегодня наши страны наметили важные шаги на пути к достижению общих целей – улучшить качество жизни людей, автоматизировать сложные для человека задачи, внедрить решения, важные для устойчивого развития Республики. Мы верим, что благодаря сплоченной работе “Росатома” и Минского тракторного завода, наши решения по роботизации производства пойдут как на благо близкому нам народу, так и реальным секторам экономики страны», – отметил заместитель генерального директора – технический директор «Р</w:t>
      </w:r>
      <w:r>
        <w:rPr/>
        <w:t>о</w:t>
      </w:r>
      <w:r>
        <w:rPr/>
        <w:t>сатом Сервис» Алексей Емельянов.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«Модернизация Минского тракторного завода – процесс непрерывный, набирающий обороты. Сегодня одна из актуальных и одновременно наиболее сложных задач – создание на предприятии автоматизированных и роботизированных производственных линий. И мы высоко ценим, что госкорпорация “Росатом” является нашим надежным партнером. Подписанная сегодня дорожная карта стала развитием соглашения о сотрудничестве, заключенного ранее. В ней определены дальнейшие шаги по роботизации производственных процессов на МТЗ, внедрению инновационных технологий, созданию центров компетенций и развитию кадрового потенциала. Убежден, что совместная работа будет продуктивной и взаимовыгодной», – прокомментировал первый заместитель генерального директора ОАО «МТЗ» – технический директор Илья Фирсов.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«Р</w:t>
      </w:r>
      <w:r>
        <w:rPr/>
        <w:t>о</w:t>
      </w:r>
      <w:r>
        <w:rPr/>
        <w:t>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«Р</w:t>
      </w:r>
      <w:r>
        <w:rPr/>
        <w:t>о</w:t>
      </w:r>
      <w:r>
        <w:rPr/>
        <w:t>сатом Сервис» охватывает более 15 стран по всему миру: от Европы до Азии. Референции «Р</w:t>
      </w:r>
      <w:r>
        <w:rPr/>
        <w:t>о</w:t>
      </w:r>
      <w:r>
        <w:rPr/>
        <w:t xml:space="preserve">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других отраслей промышленности. </w:t>
      </w:r>
      <w:hyperlink r:id="rId4">
        <w:r>
          <w:rPr>
            <w:color w:val="0563C1"/>
            <w:u w:val="single"/>
          </w:rPr>
          <w:t>www.rusatomservice.ru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Минский тракторный завод – один из лидеров мирового сельхозмашиностроения с мощным техническим и технологическим потенциалом, многолетним опытом создания тракторной и специальной техники. Конкурентным преимуществом предприятия является производство полного цикла. Производит тракторы колесные сельскохозяйственные с двигателем мощностью 57–450 л. с., машины погрузочно-транспортные, погрузочно-разгрузочные, трелевочные, лесохозяйственные, коммунальные, погрузчики, универсальные шасси, литье стальное и чугунное, штамповки и запасные части.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://www.rusatomservice.ru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ezyz/ToVVgPhvuXe2P4BYRZO3w==">CgMxLjA4AHIhMWtRQUdxRXIwWVBVVVZqZGwzR0tHSzk1Yi1UejRXR3hI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2</Pages>
  <Words>582</Words>
  <Characters>4499</Characters>
  <CharactersWithSpaces>5078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2024-10-16T14:21:00Z</dcterms:created>
  <dc:creator>b v</dc:creator>
  <dc:description/>
  <dc:language>ru-RU</dc:language>
  <cp:lastModifiedBy/>
  <dcterms:modified xsi:type="dcterms:W3CDTF">2024-10-17T16:09:59Z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