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06.09.24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«Росатом» представил свою позицию на сессии ВЭФ-2024 «Северный завоз: в любую точку вовремя»</w:t>
      </w:r>
    </w:p>
    <w:p w:rsidR="00000000" w:rsidDel="00000000" w:rsidP="00000000" w:rsidRDefault="00000000" w:rsidRPr="00000000" w14:paraId="00000009">
      <w:pPr>
        <w:rPr>
          <w:i w:val="1"/>
        </w:rPr>
      </w:pPr>
      <w:r w:rsidDel="00000000" w:rsidR="00000000" w:rsidRPr="00000000">
        <w:rPr>
          <w:i w:val="1"/>
          <w:rtl w:val="0"/>
        </w:rPr>
        <w:t xml:space="preserve">На ней обсудили реализацию пилотного проекта по созданию Единого морского оператора (ЕМО) Северного морского завоза</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«Долгосрочные контракты по Северному морскому завозу не только обеспечат надежность поставок и стабилизируют стоимость услуг, но и помогут решить проблему износа флота судов снабжения», – сказал спецпредставитель госкорпорации «Росатом» по вопросам развитии Арктики Владимир Панов на сессии «Северный завоз: в любую точку вовремя», прошедшей в рамках деловой программы Восточного экономического форума (ВЭФ-2024).</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Специфику работы закона «О Северном завозе» на сессии обсудили с участием первого заместителя министра Российской Федерации по развитию Дальнего Востока и Арктики Гаджимагомеда Гусейнова и губернатора Чукотского автономного округа Владислава Кузнецова.</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«Перед ЕМО стоят две задачи – обеспечить надежность поставок и обеспечить стабилизацию стоимости услуг для регионов. Надежность поставок во многом зависит от обновления флота судов снабжения, износ которого сейчас очень высок. За 10 лет не было построено ни одного нового судна, к 2030 году возраст старше 30 лет судов снабженцев, работающих на СМП, достигнет 75 %.  Половина судов, занятых на речной перевозке, работает за пределами срока эксплуатации, нерешение этого вопроса может привести к кризису в среднесрочной перспективе. При текущей системе морской логистики Северного завоза у судоходных компаний отсутствует возможность работать по долгосрочным договорам. Планировать же инвестиции на строительство новых судов компания может только тогда, когда у нее есть контракт на три года и более», – заявил Владимир Панов.</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Спецпредставитель «Росатома» отметил, что уход от годовых контрактов к длительным в рамках Северного морского завоза будет выгоден и регионам, так как стоимость услуг станет прогнозируемой. Владимир Панов добавил также, что с судоходными компаниями этот вопрос уже прорабатывался и в случае длительных коммерческих отношений компании готовы зафиксировать стоимость перевозки на определенный период времени с соответствующей индексацией. Перейти на трехлетний срок контрактации планируется со следующего года.</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Федеральный закон от 04.08.2023 № 411-ФЗ «О северном завозе», направленный на создание его правовых и организационных основ, вступил в силу с 1 апреля 2024 года. И в одной из частей закон предусматривает создание единого морского оператора северного завоза – уполномоченного Правительством Российской Федерации юридического лица, осуществляющее регулярные каботажные перевозки грузов северного завоза между морскими портами. Федеральным координатором процедуры выступает Минвостокразвития РФ. Основная цель закона состоит в том, чтобы создать бесперебойные поставки грузов жизнеобеспечения на Крайний Север. Речь идет о топливе, продуктах питания, стройматериалах и других товарах.</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6 июня 2024 на Петербургском международном экономическом форуме подписано соглашения о сотрудничестве госкорпорации «Росатом», Министерства по развитию Дальнего востока и Арктики, и Правительства Чукотского автономного округа в решении задач по доставке морским путем грузов северного завоза на территорию Чукотского автономного округа. «Росатом», Министерство по развитию Дальнего Востока и Арктики и Чукотка – на сегодняшний день три ключевых игрока, которые занимаются реализацией закона «О северном завозе» на практике. Госкорпорация, как единый морской оператор, отвечает за осуществление регулярных каботажных перевозок между портами по льготным тарифам грузов северного завоза. Минвостокразвития – федеральный координатор проекта, отвечает за утверждение маршрутов рейсов на основании предложений оператора. Чукотский автономный округ выбран в этом году пилотным регионом, как одна из самых непростых арктических территорий как по доставке груза, так и по количеству требуемых к завозу объемов. За год на Чукотку поставляется 532 тыс. тонн (около 30% от общего объема грузов Северного морского завоза).</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Восточный экономический форум – ключевая международная площадка для обсуждения инвестиционного потенциала Дальнего Востока, представления новых проектов и условий ведения бизнеса на территориях опережающего развития. Учрежден указом Президента РФ Владимира Путина от 19 мая 2015 года. Оператором выступает Фонд «Росконгресс». «Росатом» является официальным партнером мероприятия.</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GJ8VV3ux5vuggdZzA6mUgvCMPQ==">CgMxLjA4AHIhMUxWeXhqZ0d1emJSd1JGRW5TTGdCdUV5V2wzYTdUYk5B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