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05.09.24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на ВЭФ-2024 принял участие в сессии «Северный морской путь и его логистические возможности»</w:t>
      </w:r>
    </w:p>
    <w:p w:rsidR="00000000" w:rsidDel="00000000" w:rsidP="00000000" w:rsidRDefault="00000000" w:rsidRPr="00000000" w14:paraId="00000009">
      <w:pPr>
        <w:jc w:val="center"/>
        <w:rPr>
          <w:i w:val="1"/>
        </w:rPr>
      </w:pPr>
      <w:r w:rsidDel="00000000" w:rsidR="00000000" w:rsidRPr="00000000">
        <w:rPr>
          <w:i w:val="1"/>
          <w:rtl w:val="0"/>
        </w:rPr>
        <w:t xml:space="preserve">Глава госкорпорации Алексей Лихачев рассказал о планах по развитию Большого Северного морского пути</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5 сентября представители госкорпорации «Росатом» приняли участие в сессии «Северный морской путь и его логистические возможности», которая прошла в рамках деловой программы Восточного экономического форума (ВЭФ-2024).</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мероприятии также участвовали советник Президента Российской Федерации Игорь Левитин, первый заместитель министра по развитию Дальнего Востока и Арктики Гаджимагомед Гусейнов и директор департамента образовательной и научно-технической деятельности МЧС России Александр Бондар. Присутствие на пленарной сессии председателя компании NewNew Shipping (Китай) Line Фан Юсинь и советника Фонда мира Сасакавы Сакико Хатайя подчеркивало растущий интерес к формированию нового подхода международного взаимодействию по развитию СМП.</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Дискуссия была посвящена развитию «Большого» Северного морского пути, рассматриваемого в качестве единственной водной магистрали, связывающей все субарктические и арктические районы России.</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«Еще многое нужно сделать для того, чтобы это был действительно привлекательный, комфортный и безопасный международный транспортный маршрут. Но у нас нет другого пути, и эта задача будет решена. Очень важно, что когда накануне Президент проводил совещание по энергетической транспортной инфраструктуре Дальнего Востока, он сказал, что все инфраструктурные решения мы рассматриваем в том числе и в контексте развития СМП. Мы уже давно понимаем СМП не как юридически определенный отрезок от пролива Вилькицкого до Берингова. Мы рассматриваем СМП как большой коридор от наших портов северо-западных, включая Калининград и Санкт-Петербург, до дальневосточных портов – Владивостока и Сахалина. И именно в таких терминах и таких понятиях закладывается новый федеральный проект, он так и называется, Большой Северный морской путь, который, я больше чем уверен, будет правительством утвержден», – отметил глава госкорпорации «Росатом» Алексей Лихачев.</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В 2018 году Правительство РФ наделило «Росатом» полномочиями инфраструктурного оператора Северного морского пути (СМП).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Одна из стратегических целей госкорпорации «Росатом» – сделать СМП эффективной транспортной артерией, связывающей Европу, Россию и Азиатско-Тихоокеанский регион. Сейчас разрабатывается федеральный проект по развитию «Большого» Северного морского пути – транспортный коридор от Санкт-Петербурга и Калининграда до Владивостока.</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Восточный экономический форум – ключевая международная площадка для обсуждения инвестиционного потенциала Дальнего Востока, представления новых проектов и условий ведения бизнеса на территориях опережающего развития. Учрежден указом Президента РФ Владимира Путина от 19 мая 2015 года. Оператором выступает Фонд «Росконгресс».</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sz w:val="28"/>
          <w:szCs w:val="28"/>
        </w:rPr>
      </w:pPr>
      <w:r w:rsidDel="00000000" w:rsidR="00000000" w:rsidRPr="00000000">
        <w:rPr>
          <w:rtl w:val="0"/>
        </w:rPr>
        <w:t xml:space="preserve">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«Росатома» принимают активное участие в этой работе.</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rd0ZSs48xSFQIsf3K42KlnWw7Q==">CgMxLjA4AHIhMVhYajJZYzRmWXNIOXRkU1FiOG5iOHRjX2N6TzVFbnFh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