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При поддержке УЭХК состоялось зарыбление Верх-Нейвинского водохранилища в Свердловской области</w:t>
      </w:r>
    </w:p>
    <w:p w:rsidR="00000000" w:rsidDel="00000000" w:rsidP="00000000" w:rsidRDefault="00000000" w:rsidRPr="00000000" w14:paraId="00000009">
      <w:pPr>
        <w:jc w:val="center"/>
        <w:rPr>
          <w:i w:val="1"/>
        </w:rPr>
      </w:pPr>
      <w:r w:rsidDel="00000000" w:rsidR="00000000" w:rsidRPr="00000000">
        <w:rPr>
          <w:i w:val="1"/>
          <w:rtl w:val="0"/>
        </w:rPr>
        <w:t xml:space="preserve">В водоем выпущено более 10 тысяч мальков сазана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рамках совместного проекта Уральского электрохимического комбината (АО «УЭХК», предприятие Топливной компании «Росатома» «ТВЭЛ» в г. Новоуральск Свердловской области) и Администрации Новоуральского городского округа в лице МУП «Водоканал» состоялся выпуск в Верх-Нейвинское водохранилище 10 700 мальков сазана. В мероприятии приняли участие представители АО «УЭХК», АО «ТВЭЛ», администрации НГО и Свердловской области, отдела Рыбоохраны региона и Нижне–Обского филиала ФГБУ «Главрыбвод».</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Зарыбление Верх-Нейвинского водохранилища в 2024 году стало продолжением проекта оздоровления водоема, инициированного АО «УЭХК» в 2023 году. На его реализацию, как и в предыдущем году, предприятие выделило миллион рублей. 500 тысяч рублей дополнительно на эти цели направило МУП «Водоканал».</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Перед выпуском мальков в Верх-Нейвинское водохранилище специалисты Зеленоборского рыборазводного завода произвели контрольное взвешивание мальков сазана. Их вес был признан соответствующим нормативам (не менее 20 граммов). Молодь сазана доставили на специальном транспорте, где предусмотрено все необходимое для ее жизнеобеспечения.</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Зарыбление водоема стало частью масштабного экологического праздника «Оздоровление Верх-Нейвинского водохранилища Свердловской области», в рамках которого жители атомграда и ближайших населенных пунктов смогли лично выпустить мальков сазана в пруд и принять участие в экологических активностях.</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«Одна из важнейших составляющих этого экологического события – участие юных новоуральцев. Это гарантия дальнейшего снижения негативного влияния на природу, сохранение и восполнение биоресурсов, что является приоритетной задачей российской атомной отрасли», – отметил генеральный директор АО «УЭХК» Александр Дудин.</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Второй этап зарыбления Верх-Нейвинского водохранилища планируется в октябре, когда мальки белого толстолобика в специальных условиях достигнут необходимого веса.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Снижение негативного влияния на природу, сохранение и восполнение биоресурсов – все это приоритетные задачи российской атомной отрасли в области охраны окружающей среды. Атомщики уделяют большое внимание модернизации оборудования, обеспечивающего выработку экологически чистой энергии, ежегодно направляется сотни миллионов рублей на мероприятия по охране окружающей среды. «Росатом» участвует в проектах по сохранению биоразнообразия на нашей планете, занимается лесовосстановлением, очисткой берегов рек, зарыблением водоемов. Инициативы в сфере экологии становятся важными направлениями волонтерской деятельности для сотрудников предприятий госкорпорации.</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АО «УЭХК» – ключевое предприятие Новоуральского промышленного кластера. Входит в разделительно-сублиматный комплекс Топливной компании «Росатома» «ТВЭЛ». Первая продукция предприятия – обогащенный уран – получена 11 ноября 1949 года диффузионным способом. С 1962 года разделительное производство УЭХК использует газоцентрифужную технологию. Сегодня в АО «УЭХК» сосредоточено около 50% российских и около 20% мировых промышленных мощностей по разделению изотопов урана. Более 80% продукции АО «УЭХК» поставляется на экспорт. Система менеджмента АО «УЭХК» соответствует требованиям международных стандартов ИСО 9001, 14001, 28000, 50001, ISO 45001.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Топливная компания «Росатома» «ТВЭЛ» (Топливный дивизион госкорпорации «Росатом»)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 </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2cmwXtHMQeq/HUExTU5N5FMoQ==">CgMxLjA4AHIhMUlCaExOUWllWkhUdEVfelkwR2ZPRnp2dVVPUTRxYzdh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