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09.09.24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Ледокол Росатомфлота провел по участку Севморпути самый большой в истории трассы контейнеровоз</w:t>
      </w:r>
    </w:p>
    <w:p w:rsidR="00000000" w:rsidDel="00000000" w:rsidP="00000000" w:rsidRDefault="00000000" w:rsidRPr="00000000" w14:paraId="00000009">
      <w:pPr>
        <w:jc w:val="center"/>
        <w:rPr>
          <w:i w:val="1"/>
        </w:rPr>
      </w:pPr>
      <w:r w:rsidDel="00000000" w:rsidR="00000000" w:rsidRPr="00000000">
        <w:rPr>
          <w:i w:val="1"/>
          <w:rtl w:val="0"/>
        </w:rPr>
        <w:t xml:space="preserve">Главной задачей ледокольного обеспечения было безопасное проведение судов через перемычку сплоченных льдов</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6 сентября в районе Восточно-Сибирского моря атомный ледокол СУАЛ «Урал» выполнил задачу по проводке каравана из двух судов – балкера Smoke и крупного контейнеровоза NewNewStar (контейнеровместимость – 3534 TEU). Впервые в акваторию Северного морского пути вошел контейнеровоз таких размеров (длина – 231 метр, ширина – 32 метра).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Ледокол «Урал» начал проводку судов у восточной кромки льдов Чукотского моря и завершил свой маршрут у западной кромки льдов Восточно-Сибирского моря. Главной задачей ледокольного обеспечения было безопасное проведение судов через перемычку сплоченных льдов. После завершения операции контейнеровоз NewNew Star самостоятельно отправился в порт Санкт-Петербург, а балкер Smoke – в порт Мурманск.</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«Сегодня у грузоперевозчиков наблюдается рост популярности маршрутов через Северный морской путь. Несмотря на сложные ледовые условия в Чукотском и Восточно-Сибирском морях, экипажи атомного ледокола "Урал" и судов каравана сработали слаженно и профессионально, что способствовало обеспечению безопасного прохождения участка сплоченного льда и поддержание коммерческой скорости движения», – прокомментировал советник генерального директора ФГУП «Атомфлот» Андрей Теницкий.</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Протяженность маршрута ледокольной проводки составила 150 морских миль, средняя скорость движения – 12 узлов.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TEU – условная единица для измерения объема контейнерных перевозок и транспортных средств, которые перевозят контейнеры, эквивалентная 20 футам.</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sz w:val="28"/>
          <w:szCs w:val="28"/>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«Росатома» принимают активное участие в этой работе.</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2iSDvhIl1PBide7wqNyB8NCig==">CgMxLjA4AHIhMXlUQWkwUThfSWlwUTVLeUhiTFEwZjBhMExPVklSQ1NK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