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Музей «Атом» станет центральной площадкой проведения федеральной просветительской акции «Открытая лабораторная»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Акция пройдет по всей России при поддержке «Росатома»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Массовая акция «Открытая лабораторная», направленная на проверку научных знаний, пройдет в России 9 ноября 2024 года. Акция приурочена ко Всемирному дню науки за мир и развитие. Принять участие в «Открытой лабораторной» сможет любой желающий старше 12 лет. Написать «Открытую лабораторную» можно будет в ведущих университетах, НИИ, музеях, библиотеках, школах и иных публичных пространствах. Центральной площадкой акции станет музей «Атом» на ВДНХ (Москва).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«Открытую лабораторную» в 2024 году проводит сообщество российских популяризаторов науки и научных коммуникаторов. Генеральным партнером акции выступает научно-просветительский проект «Атомариум» при поддержке госкорпорации «Росатом».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«”Открытая лабораторная” в прошлые годы зарекомендовала себя как привлекательный инструмент популяризации науки. Она совмещает развлекательный и образовательный форматы. Участвовать в ней интересно и ученым, и семьям с детьми, и любому человеку, который хочет узнать что-то новое, провести пару субботних часов с пользой. Часть вопросов посвящена атомным технологиям, потому что в следующем году “Росатом” отметит 80-летие атомной промышленности. А в целом участники ответят на вопросы по химии, биологии, географии и другим наукам», – рассказал федеральный координатор акции, член комиссии РАН по популяризации науки, кандидат биологических наук Егор Задереев.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«Открытая лабораторная» – ежегодная федеральная просветительская акция, направленная на проверку научных знаний. Проект реализуется в России с 2017 года. В 2019 году «Открытая лабораторная» была удостоена всероссийской премии «За верность науке» в номинации «Прорыв года». В 2023 году акция прошла на 116 локациях по всей стране, в ней приняло участие 6000 человек.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работу по повышению уровня доступности научной информации, культуры в стране. «Росатом» и другие компании уделяют особое внимание поддержке и развитию социальных и культурных инициатив в регионах присутствия, участвуют в реализации стипендиальных программ поддержки, крупных образовательных проектов. Расширяется спектр решений по информированию и раскрытию потенциала школьников, студентов, что способствует выбору ими вариантов трудоустройства. 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gzd6nGp/QPWdi028ZEAjC35wQ==">CgMxLjA4AHIhMWE2QlZFYm1JMWpBSWEzVDBfVWI3VDdRSVdvMGxEbTUy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