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C4" w:rsidRDefault="00D81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D81BC4">
        <w:tc>
          <w:tcPr>
            <w:tcW w:w="1518" w:type="dxa"/>
          </w:tcPr>
          <w:p w:rsidR="00D81BC4" w:rsidRDefault="008520C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D81BC4" w:rsidRDefault="008520C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D81BC4" w:rsidRDefault="008520C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D81BC4" w:rsidRDefault="008520C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D81BC4" w:rsidRDefault="008520C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12.09.24</w:t>
            </w:r>
          </w:p>
        </w:tc>
      </w:tr>
    </w:tbl>
    <w:p w:rsidR="00D81BC4" w:rsidRDefault="008520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1BC4" w:rsidRDefault="00852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Завершен первый этап отбора в новый цикл акселератора «Квантовые вычисления»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</w:t>
      </w:r>
    </w:p>
    <w:p w:rsidR="00D81BC4" w:rsidRDefault="008520C8">
      <w:pPr>
        <w:jc w:val="center"/>
        <w:rPr>
          <w:i/>
        </w:rPr>
      </w:pPr>
      <w:r>
        <w:rPr>
          <w:i/>
        </w:rPr>
        <w:t>Участникам предстоит бороться за место в основной программе акселератора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 xml:space="preserve">Заявки во второй цикл специализированного акселератора, учрежденного Отраслевым центром развития инноваций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принимались от команд, занимающихся развитием проектов по тематике «Квантовые вычисления». Всего на участие во втором цикле </w:t>
      </w:r>
      <w:r>
        <w:t xml:space="preserve">претендовали 43 команды. Эксперты выбрали 22 наиболее проработанных проекта, которые перешли на следующую ступень отбора – в </w:t>
      </w:r>
      <w:proofErr w:type="spellStart"/>
      <w:r>
        <w:t>предакселератор</w:t>
      </w:r>
      <w:proofErr w:type="spellEnd"/>
      <w:r>
        <w:t>. В ближайшие две недели команды будут готовиться к первой защите проектов. По ее итогам жюри выберет 10 финалистов,</w:t>
      </w:r>
      <w:r>
        <w:t xml:space="preserve"> которые продолжат работу в акселерационном цикле.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>Прошедшие первичный отбор команды представляют российские научно-исследовательские институты, вузы и коммерческие компании. Среди них Санкт-Петербургский национальный исследовательский Академический униве</w:t>
      </w:r>
      <w:r>
        <w:t>рситет, Казанский национальный исследовательский технический университет, Национальный исследовательский университет «Высшая школа экономики», Институт радиотехники и электроники Российской академии наук (РАН), Казанский научный центр РАН, Университет «ИТМ</w:t>
      </w:r>
      <w:r>
        <w:t>О», Университет науки и технологий «</w:t>
      </w:r>
      <w:proofErr w:type="spellStart"/>
      <w:r>
        <w:t>МИСиС</w:t>
      </w:r>
      <w:proofErr w:type="spellEnd"/>
      <w:r>
        <w:t>», Томский государственный университет, Московский энергетический институт, Саратовский национальный исследовательский государственный университет и другие.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>Тематика отобранных проектов касается различных направлен</w:t>
      </w:r>
      <w:r>
        <w:t xml:space="preserve">ий отрасли квантовых вычислений. Так, команды представили проекты компонентов для систем квантового распределения ключей, полупроводниковых микролазеров, магнонного вычислителя, </w:t>
      </w:r>
      <w:proofErr w:type="spellStart"/>
      <w:r>
        <w:t>микроволново</w:t>
      </w:r>
      <w:proofErr w:type="spellEnd"/>
      <w:r>
        <w:t>-оптического преобразователя, вычислителей на основе алгоритма боз</w:t>
      </w:r>
      <w:r>
        <w:t xml:space="preserve">онного </w:t>
      </w:r>
      <w:proofErr w:type="spellStart"/>
      <w:r>
        <w:t>сэмплинга</w:t>
      </w:r>
      <w:proofErr w:type="spellEnd"/>
      <w:r>
        <w:t>, долговременной квантовой памяти и другие.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>Команды, прошедшие в основную программу акселератора, доработают проекты под руководством «</w:t>
      </w:r>
      <w:proofErr w:type="spellStart"/>
      <w:r>
        <w:t>трекеров</w:t>
      </w:r>
      <w:proofErr w:type="spellEnd"/>
      <w:r>
        <w:t>» – специалистов, отвечающих за организационную поддержку команды. Основные задачи «</w:t>
      </w:r>
      <w:proofErr w:type="spellStart"/>
      <w:r>
        <w:t>трекера</w:t>
      </w:r>
      <w:proofErr w:type="spellEnd"/>
      <w:r>
        <w:t>» – у</w:t>
      </w:r>
      <w:r>
        <w:t>частвовать в решении проблем, которые мешают эффективной работе над проектом, помогать команде ставить цели и достигать их.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>Еженедельно участники акселератора будут все более глубоко погружаться в коммерческую и технологическую стороны своих проектов, иск</w:t>
      </w:r>
      <w:r>
        <w:t>ать потенциальных заказчиков, тестировать гипотезы. В результате они должны будут подтвердить рыночную или научную востребованность своих продуктов и идей.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>Демонстрационный день второго цикла акселератора «Квантовые вычисления» пройдет в декабре. Именно т</w:t>
      </w:r>
      <w:r>
        <w:t xml:space="preserve">огда лидеры команд представят результаты работы жюри. Победители смогут претендовать на включение проектов в дорожную карту «Развитие высокотехнологичной области </w:t>
      </w:r>
      <w:r w:rsidR="00D637BC" w:rsidRPr="00D637BC">
        <w:t>«</w:t>
      </w:r>
      <w:r w:rsidR="00D637BC">
        <w:t>Квантовые вычисления</w:t>
      </w:r>
      <w:bookmarkStart w:id="0" w:name="_GoBack"/>
      <w:bookmarkEnd w:id="0"/>
      <w:r>
        <w:t>» на 2025–2030 годы, получат доступ к лучшему в России оборудованию, к п</w:t>
      </w:r>
      <w:r>
        <w:t>лощадкам для пилотирования высокотехнологичных решений, а также к финансированию разработок и «якорным» заказам от потенциальных заказчиков.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  <w:rPr>
          <w:b/>
        </w:rPr>
      </w:pPr>
      <w:r>
        <w:rPr>
          <w:b/>
        </w:rPr>
        <w:t>Справка: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>Акселератор – учреждение и/или организованные таким учреждением программы интенсивного развития компаний</w:t>
      </w:r>
      <w:r>
        <w:t xml:space="preserve"> через </w:t>
      </w:r>
      <w:proofErr w:type="spellStart"/>
      <w:r>
        <w:t>менторство</w:t>
      </w:r>
      <w:proofErr w:type="spellEnd"/>
      <w:r>
        <w:t>, обучение, финансовую и экспертную поддержку.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 xml:space="preserve">Акселератор «Квантовые вычисления» – специализированный акселератор Отраслевого центра развития инноваций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нацеленный на поддержку новых решений и технологий в области</w:t>
      </w:r>
      <w:r>
        <w:t xml:space="preserve"> квантовых вычислений, в том числе </w:t>
      </w:r>
      <w:proofErr w:type="spellStart"/>
      <w:r>
        <w:t>стартапов</w:t>
      </w:r>
      <w:proofErr w:type="spellEnd"/>
      <w:r>
        <w:t>, работающих в этой сфере.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</w:pPr>
      <w:r>
        <w:t>Первый цикл акселератора завершился в августе 2024 года. По его итогам три команды, представляющие Российский технологический университет МИРЭА, Московский энергетический институт и Са</w:t>
      </w:r>
      <w:r>
        <w:t xml:space="preserve">нкт-Петербургский государственный университет, получили сертификаты соответствия целям и задачам дорожной карты «Квантовые вычисления» на 2025–2030 годы и в дальнейшем смогут претендовать на финансирование научно-исследовательских и опытно-конструкторских </w:t>
      </w:r>
      <w:r>
        <w:t>работ.</w:t>
      </w:r>
    </w:p>
    <w:p w:rsidR="00D81BC4" w:rsidRDefault="00D81BC4">
      <w:pPr>
        <w:spacing w:line="276" w:lineRule="auto"/>
      </w:pPr>
    </w:p>
    <w:p w:rsidR="00D81BC4" w:rsidRDefault="008520C8">
      <w:pPr>
        <w:spacing w:line="276" w:lineRule="auto"/>
        <w:rPr>
          <w:sz w:val="28"/>
          <w:szCs w:val="28"/>
        </w:rPr>
      </w:pPr>
      <w: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</w:t>
      </w:r>
      <w:r>
        <w:t>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sectPr w:rsidR="00D81BC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C8" w:rsidRDefault="008520C8">
      <w:r>
        <w:separator/>
      </w:r>
    </w:p>
  </w:endnote>
  <w:endnote w:type="continuationSeparator" w:id="0">
    <w:p w:rsidR="008520C8" w:rsidRDefault="008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C4" w:rsidRDefault="00D81B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D81BC4" w:rsidRDefault="00D81B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C8" w:rsidRDefault="008520C8">
      <w:r>
        <w:separator/>
      </w:r>
    </w:p>
  </w:footnote>
  <w:footnote w:type="continuationSeparator" w:id="0">
    <w:p w:rsidR="008520C8" w:rsidRDefault="0085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C4"/>
    <w:rsid w:val="008520C8"/>
    <w:rsid w:val="00D637BC"/>
    <w:rsid w:val="00D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847C"/>
  <w15:docId w15:val="{B2764089-A36C-44BF-A02E-38480BF4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CT4kODuintDVEN0uWdyn6RX1g==">CgMxLjA4AHIhMXRhdndQRkRycXZ5cTFuVlNLa0dJaXlrR0hrUldZRUlH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2024-09-12T10:30:00Z</dcterms:modified>
</cp:coreProperties>
</file>