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20.09.24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Более 50 докладов представили молодые ученые «Росатома» на научно-технической конференции по ядерным технологиям в Екатеринбурге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Изыскания начинающих атомщиков направлены на обеспечение технологической независимости России и лидерство «Росатома» в мировой атомной индустрии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Доклады нового поколения исследователей Научного дивизиона госкорпорации «Росатом» прозвучали в ходе Научно-технической конференции по ядерным технологиям для молодых ученых, специалистов, студентов и аспирантов, прошедшей в Екатеринбурге с 16 по 20 сентября. Мероприятие посвящалось 50-летию создания корпуса защитных камер Института реакторных материалов (АО «ИРМ»), с которого началось развитие материаловедческого направления в исследовательском учреждении. Ведущие ученые атомной отрасли и молодые специалисты со всей страны встретились, чтобы обменяться опытом и поделиться достижениями в вопросах развития реакторных технологий, радиационного материаловедения, обращения с ОЯТ и РАО, радиоизотопных технологий для промышленности и медицины.</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«Сегодня будущее отечественной науки находится в руках молодых ученых. Наша конференция позволит ученым рассказать об их изысканиях и получить конструктивную обратную связь, а также пообщаться, поспорить, пообсуждать, получить новые знания, и возможно, поймать новую мысль», – подчеркнул, открывая пленарное заседание, директор АО «ИРМ» Евгений Селезнев.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ходе пленарной дискуссии ведущие ученые и эксперты атомной отрасли рассказали о последних достижения в области термоядерной энергетики в России и мире, исследованиях конструкционных материалов, технологий переработки и хранения отходов атомной энергетики, а также обсудили экспериментальные возможности и перспективы развития исследовательского комплекса Института реакторных материалов.</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С презентацией о проблемах использования поглощающих материалов в стержнях регулирования ядерных реакторов различного типа выступил научный руководитель АО «НИИ НПО «ЛУЧ» Владимир Рисованый. Он отметил, что сейчас для этих целей преимущественно используется карбид бора, который по высокой стоимости закупается за рубежом. «В рамках Единого отраслевого тематического плана (ЕОТП) в НИИ НПО "ЛУЧ" проводятся исследования новых поглощающих материалов на основе оксидов редкоземельных элементов и гафния. Они позволят увеличить время эксплуатации стержней регулирования, снизить их стоимость, обеспечить не только импортозамещение, но и организовать зарубежные поставки новых продуктов», – рассказал он.</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Научный руководитель по УТС и плазменным технологиям института «Росатома» в Троицке Александр Романников рассказал о планах развития в России термоядерной энергетики в промышленном масштабе. «В Троицке к 2030 году будет создана энергетическая инфраструктура токамака с реакторными технологиями (ТРТ), который станет прототипом первого российского опытно-промышленного термоядерного реактора. Создаваемые в рамках проекта технологии будут дополнять то, что мы уже реализуем совместно в проекте ИТЭР. Сооружение ТРТ приведет к восстановлению идеологического и технологического лидерства России в области управляемого термоядерного синтеза», – подчеркнул он.</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Далее молодые физики-ядерщики представили свои доклады, в которых отразили личный опыт проведения научно-исследовательских работ, проблемы, с которыми столкнулись, и полученные результаты.</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Всего на конференции было заслушано 59 докладов по четырем ключевым направлениям.</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Акционерное общество «Институт реакторных материалов» (АО ИРМ», г. Заречный, Свердловской обл.) – атомный центр Урала материаловедческого профиля, основано в 1966 году. Институт проводит реакторные испытания и послереакторные исследования для атомной промышленности в соответствии с самыми современными требованиями. Обладает мощной производственной базой: исследовательский реактор ИВВ-2М для наработки изотопного сырья и исследовательских работ, горячие камеры, радиохимическое оборудование, участок по изготовлению облучательных устройств.</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sz w:val="28"/>
          <w:szCs w:val="28"/>
        </w:rPr>
      </w:pPr>
      <w:r w:rsidDel="00000000" w:rsidR="00000000" w:rsidRPr="00000000">
        <w:rPr>
          <w:rtl w:val="0"/>
        </w:rPr>
        <w:t xml:space="preserve">Правительство РФ и крупные государственные корпорации, такие как госкорпорация «Росатом» уделяют приоритетное внимание раскрытию потенциала студентов и молодых сотрудников. «Росатом» участвует в создании базовых кафедр в российских вузах, реализации крупных образовательных проектов, стипендиальных программ, организации практики и стажировки для студентов с последующим трудоустройством.</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oxzljK64MN1qVJM6/zQbEKtPA==">CgMxLjA4AHIhMXRfSTVuR0NSTjNob0VNMWRhamdNQjVhSlFmaUZ4cGNX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