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30.09.24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Отраслевой центр развития инноваций «Росатома» отобрал команды, вошедшие во второй цикл специализированного акселератора «Квантовые вычисления»</w:t>
      </w:r>
    </w:p>
    <w:p w:rsidR="00000000" w:rsidDel="00000000" w:rsidP="00000000" w:rsidRDefault="00000000" w:rsidRPr="00000000" w14:paraId="00000009">
      <w:pPr>
        <w:jc w:val="center"/>
        <w:rPr>
          <w:i w:val="1"/>
        </w:rPr>
      </w:pPr>
      <w:r w:rsidDel="00000000" w:rsidR="00000000" w:rsidRPr="00000000">
        <w:rPr>
          <w:i w:val="1"/>
          <w:rtl w:val="0"/>
        </w:rPr>
        <w:t xml:space="preserve">В ближайшие два с половиной месяца они будут работать над своими идеями под руководством трекеров акселератора</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Отраслевой центр развития инноваций «Росатома» отобрал команды, вошедшие во второй цикл специализированного акселератора «Квантовые вычисления». Всего на участие во втором цикле претендовали 43 команды. Эксперты выбрали 22 наиболее проработанных проекта, которые перешли на следующую ступень отбора – в предакселератор. По результатам защиты проектов из них были выбраны 10 финалистов – включая команды Университета ИТМО, Университета науки и технологий МИСиС, Национального исследовательского университета «Высшая школа экономики» и ряда других вузов. Они продолжат работу в акселерационном цикле до декабря, когда в ходе демо-дня лидеры смогут представить результаты своей работы жюри.</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sz w:val="28"/>
          <w:szCs w:val="28"/>
        </w:rPr>
      </w:pPr>
      <w:r w:rsidDel="00000000" w:rsidR="00000000" w:rsidRPr="00000000">
        <w:rPr>
          <w:rtl w:val="0"/>
        </w:rPr>
        <w:t xml:space="preserve">«Когда мы проходили акселерацию в первом цикле, мы открыли для себя, что сегодня на мировом рынке уже представлены решения по компактным квантовым компьютерам для образовательного процесса, работающим при комнатных температурах. В свете новых знаний мы проанализировали то, чем занимаемся, и поняли, что можем предложить рынку гораздо более дешевый аналог, и поэтому подали заявку в новый цикл», – рассказал руководитель одной из команд, доктор физико-математических наук Ансар Сафин.</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VPxs497CAT32bg4S6sNXn0csrA==">CgMxLjA4AHIhMUJ6M1A4T2daSEZoRVpyRUpjWVJsekhtYjY2N0ZfUWxv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