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Транспортный шлюз для энергоблока № 2 АЭС «Руппур» (Бангладеш) доставлен на стройплощадку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Вскоре оборудование установят на штатное место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строительную площадку энергоблока № 2 АЭС «Руппур» в Народной Республике Бангладеш (генеральный проектировщик и генеральный подрядчик – Инжиниринговый дивизион госкорпорации «Росатом») доставлен транспортный шлюз – оборудование, входящее в схему обращения ядерного топлива на атомной электростанции.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скором времени строителям предстоит осуществить высокоточную и наиболее трудоемкую работу при сооружении энергоблока – установку шлюза и его монтаж в здании реактора.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«Реализация проекта АЭС "Руппур" продолжается, как в части сооружения блоков, так и в части поставки оборудования, его монтажа и пусконаладочных работ. Это позволяет с уверенностью говорить о том, что “Росатом” эффективно исполняет взятую на себя перед партнером ответственность и гарантирует надежность и безопасность своих технологий для благополучия будущих поколений», – отметил вице-президент по проектам в Бангладеш АО «АСЭ» Алексей Дерий.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Транспортный шлюз, являясь важной частью реакторного отделения, представляет собой цилиндрический сосуд с двумя крышками – полотнами со стороны герметичной и негерметичной зон. В собранном виде шлюз весит 235 тонн, его длина составляет 12,7 метра, диаметр – 10 метров. Главная функция транспортного шлюза – обеспечение удержания в гермозоне радиоактивных веществ и противопожарная защита. При нормальной эксплуатации АЭС через транспортный шлюз выполняется транспортировка грузов на отметку обслуживания реакторной установки при ремонтах оборудования, ввозе свежего и вывозе отработавшего топлива.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3+,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ELJMbw4LVhHoY5hngtdP46HHBg==">CgMxLjA4AHIhMUQ4dk84YnlENWRDbExjSDRrd3ktbXlvdVhCSE9Yenk2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