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05.08.24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примет участие в II Форуме «Арктика-регионы»</w:t>
      </w:r>
    </w:p>
    <w:p w:rsidR="00000000" w:rsidDel="00000000" w:rsidP="00000000" w:rsidRDefault="00000000" w:rsidRPr="00000000" w14:paraId="00000009">
      <w:pPr>
        <w:jc w:val="center"/>
        <w:rPr>
          <w:i w:val="1"/>
        </w:rPr>
      </w:pPr>
      <w:r w:rsidDel="00000000" w:rsidR="00000000" w:rsidRPr="00000000">
        <w:rPr>
          <w:i w:val="1"/>
          <w:rtl w:val="0"/>
        </w:rPr>
        <w:t xml:space="preserve">Госкорпорация планирует обсудить интеграцию Северного морского пути в арктические проекты</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Госкорпорация «Росатом» примет участие в II Форуме «Арктика-регионы», который пройдет с 8 по 9 августа в Архангельске. Мероприятие пройдет при поддержке Министерства по развитию Дальнего Востока и Арктики, а также Правительства Архангельской области.</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Ожидается, что в работе Форума примут участие свыше 1000 делегатов более чем из 40 регионов России: губернаторы арктических регионов, представителей крупных российских компаний, региональных органов власти, научных и образовательных организаций, а также руководители крупнейших предприятий в сфере судоремонта, судоходства, портовой деятельности, морской логистики, добычи водных биологических ресурсов, железнодорожных перевозок.</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Ключевым мероприятием деловой программы форума станет пленарное заседание, на котором обсудят как тренды развития арктических регионов на ближайшие десятилетия, так и роль Северного морского пути (СМП) в стабильности работы всех элементов арктической экосистемы. «Мы подошли к новому взгляду на то, как будет развиваться Арктика. Арктика будет развиваться через экосистему, состоящую из четырех равновесных элементов: минерально-сырьевой базы, энергетики, логистики и международного сотрудничества. Этот "квадрат" будет фундаментом на ближайшие десятилетия», – отметил спецпредставитель госкорпорации «Росатом» по вопросам развития Арктики Владимир Панов.</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Важно учитывать, что значительная часть грузопотока СМП формируется за пределами трассы. Поэтому в ходе форума будут подниматься вопросы развития и модернизации портовой инфраструктуры не только в акватории СМП, но и на западе и востоке. «Принимая во внимание опережающие темпы развития транспортной инфраструктуры СМП, необходимо уделять более серьезное внимание наращиванию перечня и конфигурации объектов оператора СМП в составе планирующихся к реализации инвестиционных проектов. Это позволит увеличить охват контролируемой территории СМП, повысить оперативность и качество оказания услуг, снизить риски возникновения чрезвычайных ситуаций на акватории трассы», - прокомментировал и.о. генерального директора ФГУП «Гидрографическое предприятие» Андрей Чумаченко.</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Вопросу, насколько сильно инфраструктура СМП может быть интегрирована в новые арктические проекты, будет посвящена отдельная сессия. Речь, в частности, пойдет о реализации пилотного проекта по работе Единого морского оператора северного завоза. Отдельно обсудят вопросы, связанные с безопасностью арктического судоходства и возможностью более широкого применения данных Единой платформы цифровых сервисов. «Как будет закончена работа над Единой платформой цифровых сервисов (ЕПЦС), маршрут будет разрабатываться уже автоматически на основе всех входящих данных – спутниковых снимков и прогнозов погоды. Мы же будем верифицировать рекомендации, если потребуется вносить корректуру и направлять информацию на суда», – отметил генеральный директор ФГБУ «ГлавСевморпуть» Сергей Зыбко.</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В настоящее время развитие инфраструктуры и судоходства в Арктике является одним из ключевых направлений деятельности госкорпорации «Росатом». В 2018 году Правительство РФ наделило «Росатом» полномочиями инфраструктурного оператора Северного морского пути (СМП). В декабре 2019 года Правительством РФ был утвержден План развития инфраструктуры СМП до 2035 года, разработанный «Росатомом».</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Форум «Арктика-регионы» – авторитетное деловое мероприятие, проводимое при поддержке Министерства по развитию Дальнего Востока и Арктики, Правительства Архангельской области, Российского морского регистра судоходства. Организатором выступает компания «НЕВА-Интернэшнл».</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Комплексное развитие Арктической зоны РФ является одним из стратегических приоритетов государства. Для решения поставленных задач первостепенное значение имеет повышение объема перевозок по СМП. Развитие этого логистического коридора обеспечивается за счет налаживания регулярных грузоперевозок, постройки новых атомных ледоколов и модернизации соответствующей инфраструктуры. Предприятия госкорпорации «Росатом» принимают активное участие в этой работе.</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DMQAeajANw6GhNZRViXaWimLMg==">CgMxLjA4AHIhMTRzSUg0TXFtZF9vZ21WQVUtX1AzY0Z1eWtNbHRVR3BC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