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08.08.24</w:t>
            </w:r>
          </w:p>
        </w:tc>
      </w:tr>
    </w:tbl>
    <w:p w:rsidR="00000000" w:rsidDel="00000000" w:rsidP="00000000" w:rsidRDefault="00000000" w:rsidRPr="00000000" w14:paraId="00000007">
      <w:pPr>
        <w:rPr>
          <w:sz w:val="28"/>
          <w:szCs w:val="28"/>
        </w:rPr>
      </w:pPr>
      <w:r w:rsidDel="00000000" w:rsidR="00000000" w:rsidRPr="00000000">
        <w:rPr>
          <w:sz w:val="28"/>
          <w:szCs w:val="28"/>
          <w:rtl w:val="0"/>
        </w:rPr>
        <w:t xml:space="preserve"> </w:t>
      </w:r>
    </w:p>
    <w:p w:rsidR="00000000" w:rsidDel="00000000" w:rsidP="00000000" w:rsidRDefault="00000000" w:rsidRPr="00000000" w14:paraId="00000008">
      <w:pPr>
        <w:jc w:val="center"/>
        <w:rPr>
          <w:b w:val="1"/>
          <w:sz w:val="28"/>
          <w:szCs w:val="28"/>
        </w:rPr>
      </w:pPr>
      <w:r w:rsidDel="00000000" w:rsidR="00000000" w:rsidRPr="00000000">
        <w:rPr>
          <w:b w:val="1"/>
          <w:sz w:val="28"/>
          <w:szCs w:val="28"/>
          <w:rtl w:val="0"/>
        </w:rPr>
        <w:t xml:space="preserve">Подведены итоги первого цикла акселератора «Квантовые вычисления» от «Росатома»</w:t>
      </w:r>
    </w:p>
    <w:p w:rsidR="00000000" w:rsidDel="00000000" w:rsidP="00000000" w:rsidRDefault="00000000" w:rsidRPr="00000000" w14:paraId="00000009">
      <w:pPr>
        <w:jc w:val="center"/>
        <w:rPr>
          <w:i w:val="1"/>
        </w:rPr>
      </w:pPr>
      <w:r w:rsidDel="00000000" w:rsidR="00000000" w:rsidRPr="00000000">
        <w:rPr>
          <w:i w:val="1"/>
          <w:rtl w:val="0"/>
        </w:rPr>
        <w:t xml:space="preserve">Три проекта получили сертификат соответствия задачам дорожной карты развития высокотехнологичной области «Квантовые вычисления»</w:t>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rtl w:val="0"/>
        </w:rPr>
        <w:t xml:space="preserve">В Москве, в музее «Атом» на ВДНХ, прошел демо-день первого цикла отраслевого акселератора «Квантовые вычисления». Десять проектов, прошедших цикл акселерации, представили конкурсной комиссии результаты работы. Тематика проектов касалась различных направлений отрасли квантовых вычислений (проекты источников одиночных фотонов, датчиков приема фотонов, систем охлаждения, инновационных моделей систем небольшого количества фотонов, систем и интерфейсов для квантового программирования и пр.).</w:t>
      </w:r>
    </w:p>
    <w:p w:rsidR="00000000" w:rsidDel="00000000" w:rsidP="00000000" w:rsidRDefault="00000000" w:rsidRPr="00000000" w14:paraId="0000000C">
      <w:pPr>
        <w:spacing w:line="276" w:lineRule="auto"/>
        <w:rPr/>
      </w:pPr>
      <w:r w:rsidDel="00000000" w:rsidR="00000000" w:rsidRPr="00000000">
        <w:rPr>
          <w:rtl w:val="0"/>
        </w:rPr>
      </w:r>
    </w:p>
    <w:p w:rsidR="00000000" w:rsidDel="00000000" w:rsidP="00000000" w:rsidRDefault="00000000" w:rsidRPr="00000000" w14:paraId="0000000D">
      <w:pPr>
        <w:spacing w:line="276" w:lineRule="auto"/>
        <w:rPr/>
      </w:pPr>
      <w:r w:rsidDel="00000000" w:rsidR="00000000" w:rsidRPr="00000000">
        <w:rPr>
          <w:rtl w:val="0"/>
        </w:rPr>
        <w:t xml:space="preserve">Четыре проекта были представлены коммерческими организациями, шесть – научными командами российских вузов (Белгородский государственный технический университет им. Шухова, Нижегородский государственный университет им. Н. И. Лобачевского, Санкт-Петербургский государственный университет, Российский технологический университет – МИРЭА, Национальный исследовательский университет «МЭИ», Казанский национальный исследовательский технический университет им. А. Н. Туполева – КАИ).</w:t>
      </w:r>
    </w:p>
    <w:p w:rsidR="00000000" w:rsidDel="00000000" w:rsidP="00000000" w:rsidRDefault="00000000" w:rsidRPr="00000000" w14:paraId="0000000E">
      <w:pPr>
        <w:spacing w:line="276" w:lineRule="auto"/>
        <w:rPr/>
      </w:pPr>
      <w:r w:rsidDel="00000000" w:rsidR="00000000" w:rsidRPr="00000000">
        <w:rPr>
          <w:rtl w:val="0"/>
        </w:rPr>
      </w:r>
    </w:p>
    <w:p w:rsidR="00000000" w:rsidDel="00000000" w:rsidP="00000000" w:rsidRDefault="00000000" w:rsidRPr="00000000" w14:paraId="0000000F">
      <w:pPr>
        <w:spacing w:line="276" w:lineRule="auto"/>
        <w:rPr/>
      </w:pPr>
      <w:r w:rsidDel="00000000" w:rsidR="00000000" w:rsidRPr="00000000">
        <w:rPr>
          <w:rtl w:val="0"/>
        </w:rPr>
        <w:t xml:space="preserve">По итогам защиты три проекта получили подтверждение соответствия задачам дорожной карты развития высокотехнологичной области «Квантовые вычисления». Ими стали «Платформа для реализации квантовых вычислений» (РТУ МИРЭА), «Магнонный интерконнект» (НИУ МЭИ) и «Компоненты для квантовых систем» (СПбГУ). Все они в ближайшее время смогут подать пакет документов на включение в дорожную карту «Квантовые вычисления».</w:t>
      </w:r>
    </w:p>
    <w:p w:rsidR="00000000" w:rsidDel="00000000" w:rsidP="00000000" w:rsidRDefault="00000000" w:rsidRPr="00000000" w14:paraId="00000010">
      <w:pPr>
        <w:spacing w:line="276" w:lineRule="auto"/>
        <w:rPr/>
      </w:pPr>
      <w:r w:rsidDel="00000000" w:rsidR="00000000" w:rsidRPr="00000000">
        <w:rPr>
          <w:rtl w:val="0"/>
        </w:rPr>
      </w:r>
    </w:p>
    <w:p w:rsidR="00000000" w:rsidDel="00000000" w:rsidP="00000000" w:rsidRDefault="00000000" w:rsidRPr="00000000" w14:paraId="00000011">
      <w:pPr>
        <w:spacing w:line="276" w:lineRule="auto"/>
        <w:rPr/>
      </w:pPr>
      <w:r w:rsidDel="00000000" w:rsidR="00000000" w:rsidRPr="00000000">
        <w:rPr>
          <w:rtl w:val="0"/>
        </w:rPr>
        <w:t xml:space="preserve">«Акселератор "Квантовые вычисления" – это "окно входа" в "Росатом", которое позволяет проектам интегрироваться в дорожную карту развития высокотехнологичной области "Квантовые вычисления", разработанную госкорпорацией "Росатом" и утвержденную Правительством РФ. В дорожных картах развития высокотехнологичных областей предусмотрено проведение мероприятий по развитию инновационной экосистемы в целом, и реализация акселерационных программ в частности. Подход "Росатома" здесь такой: мы стараемся выполнять работу полноценно и проводим акселератор не ради акселератора, а для того, чтобы выявить проекты, обладающие высоким потенциалом», – прокомментировал директор проекта «Развитие квантовых вычислений» госкорпорации «Росатом» Денис Гришанов.</w:t>
      </w:r>
    </w:p>
    <w:p w:rsidR="00000000" w:rsidDel="00000000" w:rsidP="00000000" w:rsidRDefault="00000000" w:rsidRPr="00000000" w14:paraId="00000012">
      <w:pPr>
        <w:spacing w:line="276" w:lineRule="auto"/>
        <w:rPr/>
      </w:pPr>
      <w:r w:rsidDel="00000000" w:rsidR="00000000" w:rsidRPr="00000000">
        <w:rPr>
          <w:rtl w:val="0"/>
        </w:rPr>
      </w:r>
    </w:p>
    <w:p w:rsidR="00000000" w:rsidDel="00000000" w:rsidP="00000000" w:rsidRDefault="00000000" w:rsidRPr="00000000" w14:paraId="00000013">
      <w:pPr>
        <w:spacing w:line="276" w:lineRule="auto"/>
        <w:rPr/>
      </w:pPr>
      <w:r w:rsidDel="00000000" w:rsidR="00000000" w:rsidRPr="00000000">
        <w:rPr>
          <w:rtl w:val="0"/>
        </w:rPr>
        <w:t xml:space="preserve"> </w:t>
      </w:r>
    </w:p>
    <w:p w:rsidR="00000000" w:rsidDel="00000000" w:rsidP="00000000" w:rsidRDefault="00000000" w:rsidRPr="00000000" w14:paraId="00000014">
      <w:pPr>
        <w:spacing w:line="276" w:lineRule="auto"/>
        <w:rPr/>
      </w:pPr>
      <w:r w:rsidDel="00000000" w:rsidR="00000000" w:rsidRPr="00000000">
        <w:rPr>
          <w:rtl w:val="0"/>
        </w:rPr>
      </w:r>
    </w:p>
    <w:p w:rsidR="00000000" w:rsidDel="00000000" w:rsidP="00000000" w:rsidRDefault="00000000" w:rsidRPr="00000000" w14:paraId="00000015">
      <w:pPr>
        <w:spacing w:line="276" w:lineRule="auto"/>
        <w:rPr/>
      </w:pPr>
      <w:r w:rsidDel="00000000" w:rsidR="00000000" w:rsidRPr="00000000">
        <w:rPr>
          <w:rtl w:val="0"/>
        </w:rPr>
        <w:t xml:space="preserve">«Когда мы начали непростой процесс сбора заявок в акселератор "Квантовые вычисления", мы связались с 230 командами, 53 из которых подали заявки на участие. 23 из них попали в предакселератор, 10 прошли в акселерационный цикл. В начале цикла перед каждой из команд были поставлены свои задачи. В течение двух месяцев интенсивной работы команды работали над их решением под руководством трекеров акселератора, с привлечением аналитиков, специалистов по продажам и экспертов из различных сфер для максимально полной оценки реализуемости проектов», – рассказала руководитель блока по акселерации Отраслевого центра развития инноваций Виктория Романова.</w:t>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tl w:val="0"/>
        </w:rPr>
        <w:t xml:space="preserve">Акселерационная программа «Квантовые вычисления» будет продлена на второй цикл, сбор заявок на участие в ней продлится до 16 августа.</w:t>
      </w:r>
    </w:p>
    <w:p w:rsidR="00000000" w:rsidDel="00000000" w:rsidP="00000000" w:rsidRDefault="00000000" w:rsidRPr="00000000" w14:paraId="00000018">
      <w:pPr>
        <w:spacing w:line="276" w:lineRule="auto"/>
        <w:rPr/>
      </w:pPr>
      <w:r w:rsidDel="00000000" w:rsidR="00000000" w:rsidRPr="00000000">
        <w:rPr>
          <w:rtl w:val="0"/>
        </w:rPr>
      </w:r>
    </w:p>
    <w:p w:rsidR="00000000" w:rsidDel="00000000" w:rsidP="00000000" w:rsidRDefault="00000000" w:rsidRPr="00000000" w14:paraId="00000019">
      <w:pPr>
        <w:spacing w:line="276" w:lineRule="auto"/>
        <w:rPr>
          <w:b w:val="1"/>
        </w:rPr>
      </w:pPr>
      <w:r w:rsidDel="00000000" w:rsidR="00000000" w:rsidRPr="00000000">
        <w:rPr>
          <w:b w:val="1"/>
          <w:rtl w:val="0"/>
        </w:rPr>
        <w:t xml:space="preserve">Справка:</w:t>
      </w:r>
    </w:p>
    <w:p w:rsidR="00000000" w:rsidDel="00000000" w:rsidP="00000000" w:rsidRDefault="00000000" w:rsidRPr="00000000" w14:paraId="0000001A">
      <w:pPr>
        <w:spacing w:line="276" w:lineRule="auto"/>
        <w:rPr/>
      </w:pPr>
      <w:r w:rsidDel="00000000" w:rsidR="00000000" w:rsidRPr="00000000">
        <w:rPr>
          <w:rtl w:val="0"/>
        </w:rPr>
      </w:r>
    </w:p>
    <w:p w:rsidR="00000000" w:rsidDel="00000000" w:rsidP="00000000" w:rsidRDefault="00000000" w:rsidRPr="00000000" w14:paraId="0000001B">
      <w:pPr>
        <w:spacing w:line="276" w:lineRule="auto"/>
        <w:rPr/>
      </w:pPr>
      <w:r w:rsidDel="00000000" w:rsidR="00000000" w:rsidRPr="00000000">
        <w:rPr>
          <w:rtl w:val="0"/>
        </w:rPr>
        <w:t xml:space="preserve">Главной целью отраслевого акселератора «Квантовые вычисления» было выявить коммерческий и подтвердить научный потенциал проектов. Главным критерием определения лучших проектов стало подтверждение соответствие целям и задачам дорожной карты «Квантовые вычисления» на 2025–2030 годы. Заявки в акселератор принимались от команд, занимающихся развитием проектов по тематике «Квантовые вычисления». В отличие от других акселерационных программ рассматривались не только уже реализованные инициативы, но и идеи.</w:t>
      </w:r>
    </w:p>
    <w:p w:rsidR="00000000" w:rsidDel="00000000" w:rsidP="00000000" w:rsidRDefault="00000000" w:rsidRPr="00000000" w14:paraId="0000001C">
      <w:pPr>
        <w:spacing w:line="276" w:lineRule="auto"/>
        <w:rPr/>
      </w:pPr>
      <w:r w:rsidDel="00000000" w:rsidR="00000000" w:rsidRPr="00000000">
        <w:rPr>
          <w:rtl w:val="0"/>
        </w:rPr>
      </w:r>
    </w:p>
    <w:p w:rsidR="00000000" w:rsidDel="00000000" w:rsidP="00000000" w:rsidRDefault="00000000" w:rsidRPr="00000000" w14:paraId="0000001D">
      <w:pPr>
        <w:spacing w:line="276" w:lineRule="auto"/>
        <w:rPr/>
      </w:pPr>
      <w:r w:rsidDel="00000000" w:rsidR="00000000" w:rsidRPr="00000000">
        <w:rPr>
          <w:rtl w:val="0"/>
        </w:rPr>
        <w:t xml:space="preserve">Дорожная карта «Развитие высокотехнологичной области „Квантовые вычисления"», разработанная госкорпорацией «Росатом» в рамках федерального проекта «Цифровые технологии», была утверждена Президиумом правительственной комиссии по цифровому развитию в 2020 году. Документ сфокусирован как на решении исследовательских и инженерных задач в области квантовых вычислений, так и на формировании экосистемы для развития этого направления, включающей создание инфраструктурной базы, образовательных программ, консорциумов с индустриальными партнерами.</w:t>
      </w:r>
    </w:p>
    <w:p w:rsidR="00000000" w:rsidDel="00000000" w:rsidP="00000000" w:rsidRDefault="00000000" w:rsidRPr="00000000" w14:paraId="0000001E">
      <w:pPr>
        <w:spacing w:line="276" w:lineRule="auto"/>
        <w:rPr/>
      </w:pPr>
      <w:r w:rsidDel="00000000" w:rsidR="00000000" w:rsidRPr="00000000">
        <w:rPr>
          <w:rtl w:val="0"/>
        </w:rPr>
      </w:r>
    </w:p>
    <w:p w:rsidR="00000000" w:rsidDel="00000000" w:rsidP="00000000" w:rsidRDefault="00000000" w:rsidRPr="00000000" w14:paraId="0000001F">
      <w:pPr>
        <w:spacing w:line="276" w:lineRule="auto"/>
        <w:rPr/>
      </w:pPr>
      <w:r w:rsidDel="00000000" w:rsidR="00000000" w:rsidRPr="00000000">
        <w:rPr>
          <w:rtl w:val="0"/>
        </w:rPr>
        <w:t xml:space="preserve">Госкорпорация «Росатом» – глобальный технологический многопрофильный холдинг, объединяющий активы в энергетике, машиностроении, строительстве. Включает в себя более 450 предприятий и организаций, в которых работает 350 тыс. человек. С 2018 г. реализует единую цифровую стратегию (ЕЦС), предполагающую многоплановую работу по ряду направлений. В направлении «Участие в цифровизации РФ» является центром компетенций федерального проекта «Цифровые технологии» нацпрограммы «Цифровая экономика РФ»; выступает компанией-лидером реализации правительственной дорожной карты по развитию высокотехнологичной области «Новое индустриальное программное обеспечение»; с 2021 года реализует первый российский проект по импортозамещению целого класса промышленного ПО – систем инженерного анализа и математического моделирования (САЕ-класс), с 2022 году выступает координатором проекта по созданию российской PLM-системы тяжелого класса. </w:t>
      </w:r>
    </w:p>
    <w:p w:rsidR="00000000" w:rsidDel="00000000" w:rsidP="00000000" w:rsidRDefault="00000000" w:rsidRPr="00000000" w14:paraId="00000020">
      <w:pPr>
        <w:spacing w:line="276" w:lineRule="auto"/>
        <w:rPr/>
      </w:pPr>
      <w:r w:rsidDel="00000000" w:rsidR="00000000" w:rsidRPr="00000000">
        <w:rPr>
          <w:rtl w:val="0"/>
        </w:rPr>
      </w:r>
    </w:p>
    <w:p w:rsidR="00000000" w:rsidDel="00000000" w:rsidP="00000000" w:rsidRDefault="00000000" w:rsidRPr="00000000" w14:paraId="00000021">
      <w:pPr>
        <w:spacing w:line="276" w:lineRule="auto"/>
        <w:rPr/>
      </w:pPr>
      <w:r w:rsidDel="00000000" w:rsidR="00000000" w:rsidRPr="00000000">
        <w:rPr>
          <w:rtl w:val="0"/>
        </w:rPr>
        <w:t xml:space="preserve">В направлении «Цифровые продукты» разрабатывает и выводит на рынок цифровые продукты для промышленных предприятий – в портфеле «Росатома» более 60 цифровых продуктов. В направлении «Внутренняя цифровизация» обеспечивает цифровизацию процессов сооружения АЭС, цифровое импортозамещение и создание Единой цифровой платформы атомной отрасли. Также в рамках ЕЦС «Росатом» ведет работу по развитию сквозных цифровых технологий, в числе которых технологии работы с данными, интернет вещей, производственные технологии, виртуальная и дополненная реальность, нейротехнологии и искусственный интеллект, технологии беспроводной связи, робототехника и сенсорика и др. В направлении «Цифровые компетенции и культура» реализует образовательные программы для повышения цифровой грамотности сотрудников, а также развивает отраслевые производственно-технологические площадки и конкурсы профессионального мастерства по теме цифровизации.</w:t>
      </w:r>
    </w:p>
    <w:p w:rsidR="00000000" w:rsidDel="00000000" w:rsidP="00000000" w:rsidRDefault="00000000" w:rsidRPr="00000000" w14:paraId="00000022">
      <w:pPr>
        <w:spacing w:line="276" w:lineRule="auto"/>
        <w:rPr/>
      </w:pPr>
      <w:r w:rsidDel="00000000" w:rsidR="00000000" w:rsidRPr="00000000">
        <w:rPr>
          <w:rtl w:val="0"/>
        </w:rPr>
      </w:r>
    </w:p>
    <w:p w:rsidR="00000000" w:rsidDel="00000000" w:rsidP="00000000" w:rsidRDefault="00000000" w:rsidRPr="00000000" w14:paraId="00000023">
      <w:pPr>
        <w:spacing w:line="276" w:lineRule="auto"/>
        <w:rPr>
          <w:sz w:val="28"/>
          <w:szCs w:val="28"/>
        </w:rPr>
      </w:pPr>
      <w:r w:rsidDel="00000000" w:rsidR="00000000" w:rsidRPr="00000000">
        <w:rPr>
          <w:rtl w:val="0"/>
        </w:rPr>
        <w:t xml:space="preserve">Перед российской промышленностью стоит цель в кратчайшие сроки обеспечить технологический суверенитет и переход на новейшие технологии. Государство и крупные отечественные компании направляют ресурсы на ускоренное развитие отечественной исследовательской, инфраструктурной, научно-технологической базы. Внедрение инноваций и нового высокотехнологичного оборудования позволяет предприятиям занимать новые ниши на рынке, повышая конкурентоспособность российской промышленности.</w:t>
      </w: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basedOn w:val="DefaultParagraphFont"/>
    <w:uiPriority w:val="99"/>
    <w:unhideWhenUsed w:val="1"/>
    <w:rsid w:val="00C56287"/>
    <w:rPr>
      <w:color w:val="0563c1" w:themeColor="hyperlink"/>
      <w:u w:val="single"/>
    </w:rPr>
  </w:style>
  <w:style w:type="character" w:styleId="UnresolvedMention">
    <w:name w:val="Unresolved Mention"/>
    <w:basedOn w:val="DefaultParagraphFont"/>
    <w:uiPriority w:val="99"/>
    <w:semiHidden w:val="1"/>
    <w:unhideWhenUsed w:val="1"/>
    <w:rsid w:val="00C56287"/>
    <w:rPr>
      <w:color w:val="605e5c"/>
      <w:shd w:color="auto" w:fill="e1dfdd" w:val="clear"/>
    </w:rPr>
  </w:style>
  <w:style w:type="paragraph" w:styleId="Header">
    <w:name w:val="header"/>
    <w:basedOn w:val="Normal"/>
    <w:link w:val="HeaderChar"/>
    <w:uiPriority w:val="99"/>
    <w:unhideWhenUsed w:val="1"/>
    <w:rsid w:val="00C56287"/>
    <w:pPr>
      <w:tabs>
        <w:tab w:val="center" w:pos="4680"/>
        <w:tab w:val="right" w:pos="9360"/>
      </w:tabs>
    </w:pPr>
  </w:style>
  <w:style w:type="character" w:styleId="HeaderChar" w:customStyle="1">
    <w:name w:val="Header Char"/>
    <w:basedOn w:val="DefaultParagraphFont"/>
    <w:link w:val="Header"/>
    <w:uiPriority w:val="99"/>
    <w:rsid w:val="00C56287"/>
  </w:style>
  <w:style w:type="paragraph" w:styleId="Footer">
    <w:name w:val="footer"/>
    <w:basedOn w:val="Normal"/>
    <w:link w:val="FooterChar"/>
    <w:uiPriority w:val="99"/>
    <w:unhideWhenUsed w:val="1"/>
    <w:rsid w:val="00C56287"/>
    <w:pPr>
      <w:tabs>
        <w:tab w:val="center" w:pos="4680"/>
        <w:tab w:val="right" w:pos="9360"/>
      </w:tabs>
    </w:pPr>
  </w:style>
  <w:style w:type="character" w:styleId="FooterChar" w:customStyle="1">
    <w:name w:val="Footer Char"/>
    <w:basedOn w:val="DefaultParagraphFont"/>
    <w:link w:val="Footer"/>
    <w:uiPriority w:val="99"/>
    <w:rsid w:val="00C56287"/>
  </w:style>
  <w:style w:type="character" w:styleId="FollowedHyperlink">
    <w:name w:val="FollowedHyperlink"/>
    <w:basedOn w:val="DefaultParagraphFont"/>
    <w:uiPriority w:val="99"/>
    <w:semiHidden w:val="1"/>
    <w:unhideWhenUsed w:val="1"/>
    <w:rsid w:val="00C56287"/>
    <w:rPr>
      <w:color w:val="954f72" w:themeColor="followedHyperlink"/>
      <w:u w:val="single"/>
    </w:rPr>
  </w:style>
  <w:style w:type="table" w:styleId="TableGrid">
    <w:name w:val="Table Grid"/>
    <w:basedOn w:val="TableNormal"/>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JDMlPqSzZ5l7WHOeuGUz87crNg==">CgMxLjA4AHIhMWlrdTZLdmVNZVFuSkJQTTNRc2RFM2JlSnd3cFdNY0JZ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2023-11-17T07:32:00Z</dcterms:created>
  <dc:creator>b v</dc:creator>
</cp:coreProperties>
</file>