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31.07.24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successfully attended WNU Summer Institute</w:t>
      </w:r>
    </w:p>
    <w:p w:rsidR="00000000" w:rsidDel="00000000" w:rsidP="00000000" w:rsidRDefault="00000000" w:rsidRPr="00000000" w14:paraId="0000000C">
      <w:pPr>
        <w:rPr>
          <w:i w:val="1"/>
        </w:rPr>
      </w:pPr>
      <w:r w:rsidDel="00000000" w:rsidR="00000000" w:rsidRPr="00000000">
        <w:rPr>
          <w:i w:val="1"/>
          <w:rtl w:val="0"/>
        </w:rPr>
        <w:t xml:space="preserve">Rosatom America Latina has been closely engaged in the preparations for the program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Rosatom took part in the World Nuclear University's Summer Institute, an international educational program aimed at developing the professional skills of nuclear industry workers from different countries. The SI 2024 was hosted by Rio de Janeiro, Brazil.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program has been attended by Rosatom Special Representative for International Projects Lyudmila Zalimskaya, Chief Sustainability Officer Polina Lyon, Director of the Rosatom Regional Center in Latin America (Rosatom America Latina) Ivan Dybov, Program Lead of the Rosatom Corporate Academy Ekaterina Khairullina, as speakers, and employees of industry companies (TENEX, Rusatom International Network, TVEL).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One of the days of the agenda was dedicated to </w:t>
      </w:r>
      <w:r w:rsidDel="00000000" w:rsidR="00000000" w:rsidRPr="00000000">
        <w:rPr>
          <w:rtl w:val="0"/>
        </w:rPr>
        <w:t xml:space="preserve">Rosatom's</w:t>
      </w:r>
      <w:r w:rsidDel="00000000" w:rsidR="00000000" w:rsidRPr="00000000">
        <w:rPr>
          <w:rtl w:val="0"/>
        </w:rPr>
        <w:t xml:space="preserve"> experience of working with local communities in the countries of presence. Its central event was an introduction to the activities of the Brazilian environmental association Instituto Vida Livre, a visit to the Botanical Garden of Rio de Janeiro and release of rehabilitated wild birds that had suffered from human actions. All events were organized with the support of Rosatom America Latina. The company's director Ivan Dybov spoke about the involvement of local communities in Rosatom's social projects in the region. Elaborating on the topic of social responsibility in a broader context, Polina Lyon dwelt in detail on the requirements of sustainable development in relation to the nuclear industry.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Lyudmila Zalimskaya, under LEAD Talks session, talked about her career journey, as well as about Russian advanced solutions in the back end of the nuclear fuel cycle. Ekaterina Khairullina shared Rosatom experience in developing professional training and presented an innovative concept for forming highly effective teams.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addition, the SI 2024 program included technical tours to facilities of the Brazilian nuclear industry. The Fellows visited the Angra NPP, the nuclear fuel plant operated by Industrias Nucleares do Brasil (INB) and the NUCLEP S.A.'s heavy power machinery plant.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Alexander Chernikov, Head of the Market Analysis Section, Strategy and Marketing Department, TENEX, shared his impressions: </w:t>
      </w:r>
      <w:r w:rsidDel="00000000" w:rsidR="00000000" w:rsidRPr="00000000">
        <w:rPr>
          <w:rFonts w:ascii="Calibri" w:cs="Calibri" w:eastAsia="Calibri" w:hAnsi="Calibri"/>
          <w:color w:val="000000"/>
          <w:rtl w:val="0"/>
        </w:rPr>
        <w:t xml:space="preserve">“</w:t>
      </w:r>
      <w:r w:rsidDel="00000000" w:rsidR="00000000" w:rsidRPr="00000000">
        <w:rPr>
          <w:rtl w:val="0"/>
        </w:rPr>
        <w:t xml:space="preserve">The program provided an invaluable opportunity to communicate with young leaders in our industry, who, in fact, will be in charge of tripling the nuclear capacity by 2050. The industry community pleasantly surprised us with people who are well-versed in everything, and the atmosphere of an open exchange of opinions, and a creative, sometimes sharp, but always respectful discussion. We were able to share with the Fellows our expertise in many areas, including the NFC, which we are engaged in, and also gain new experience and energy that we can invest in ensuring the global leadership of Rosatom</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right="560"/>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For Reference: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World Nuclear University's Summer Institute is an immersive 270-hour international educational program aimed at developing leadership and communication skills of nuclear professionals from all over the world. Summer Institute is one of the key areas of multifaceted cooperation between Rosatom and the World Nuclear Association (WNA). The program is held annually in different countries.</w:t>
      </w:r>
    </w:p>
    <w:p w:rsidR="00000000" w:rsidDel="00000000" w:rsidP="00000000" w:rsidRDefault="00000000" w:rsidRPr="00000000" w14:paraId="0000001D">
      <w:pPr>
        <w:rPr/>
      </w:pPr>
      <w:bookmarkStart w:colFirst="0" w:colLast="0" w:name="_heading=h.gjdgxs" w:id="0"/>
      <w:bookmarkEnd w:id="0"/>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program covers such topics as global energy, the development of nuclear power and nuclear innovation technologies, nuclear safety, etc. The mentors and speakers are heads of the world's leading nuclear companies. The training includes ELA sessions, expert-led seminars, group work, team projects as well as visits to industrial and nuclear facilities. About 70 alumni join the program annually. Over the entire existence of the program, more than 1,200 fellows from 90 countries have graduated.</w:t>
      </w:r>
    </w:p>
    <w:p w:rsidR="00000000" w:rsidDel="00000000" w:rsidP="00000000" w:rsidRDefault="00000000" w:rsidRPr="00000000" w14:paraId="0000001F">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CSSY98rJHpLp0eKY9U3/y4PFA==">CgMxLjAyCGguZ2pkZ3hzOAByITFzZ3RuVDIySUh6N201WHUtMzdzVU1ScDMwMDhiek1leQ==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2024-08-01T08:04:00Z</dcterms:created>
  <dc:creator>b v</dc:creator>
</cp:coreProperties>
</file>