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p>
          <w:p w:rsidR="00000000" w:rsidDel="00000000" w:rsidP="00000000" w:rsidRDefault="00000000" w:rsidRPr="00000000" w14:paraId="00000003">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6">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7">
            <w:pPr>
              <w:ind w:right="560"/>
              <w:jc w:val="right"/>
              <w:rPr>
                <w:sz w:val="28"/>
                <w:szCs w:val="28"/>
              </w:rPr>
            </w:pPr>
            <w:r w:rsidDel="00000000" w:rsidR="00000000" w:rsidRPr="00000000">
              <w:rPr>
                <w:sz w:val="28"/>
                <w:szCs w:val="28"/>
                <w:rtl w:val="0"/>
              </w:rPr>
              <w:t xml:space="preserve">30.07.24</w:t>
            </w:r>
          </w:p>
        </w:tc>
      </w:tr>
    </w:tbl>
    <w:p w:rsidR="00000000" w:rsidDel="00000000" w:rsidP="00000000" w:rsidRDefault="00000000" w:rsidRPr="00000000" w14:paraId="00000008">
      <w:pPr>
        <w:jc w:val="center"/>
        <w:rPr>
          <w:b w:val="1"/>
          <w:sz w:val="28"/>
          <w:szCs w:val="28"/>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В августе пройдут литературная и театральная смены для победителей Международного детского проекта «Территория успеха: Пегас»</w:t>
      </w:r>
    </w:p>
    <w:p w:rsidR="00000000" w:rsidDel="00000000" w:rsidP="00000000" w:rsidRDefault="00000000" w:rsidRPr="00000000" w14:paraId="0000000A">
      <w:pPr>
        <w:jc w:val="center"/>
        <w:rPr>
          <w:i w:val="1"/>
        </w:rPr>
      </w:pPr>
      <w:r w:rsidDel="00000000" w:rsidR="00000000" w:rsidRPr="00000000">
        <w:rPr>
          <w:i w:val="1"/>
          <w:rtl w:val="0"/>
        </w:rPr>
        <w:t xml:space="preserve">Смены будут организованы при поддержке «Росатома»</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С 12 по 30 августа в Красноярске пройдут литературная и театральная смены для победителей международного творческого проекта «Территория успеха: Пегас» (проводится в рамках программы «Территория культуры Росатом» Фондом «АТР АЭС» при поддержке Электроэнергетического дивизиона госкорпорации «Росатом»). Для театрального направления смена пройдет с 12 по 30 августа, для литературного – с 15 по 30 августа.</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Участниками литературной смены станут 38 детей из 17 городов присутствия предприятий атомной отрасли. Ребят ждут лекции и занятия по литературе, искусству и актерскому мастерству. Они познакомятся с творчеством сибирских писателей, побывают в Литературном музее В. П. Астафьева; в музее В. И. Сурикова; в мемориальном комплексе в деревне Овсянка, где жил и работал писатель Виктор Астафьев.</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Занятия на литературной смене будут проводить приглашенные эксперты и профессиональные наставники, среди которых Александр Колмогоров – поэт, писатель, актер, режиссер; Александр Третьяков – красноярский прозаик; Виктор Егоров – художник-график и многие другие. Также в рамках проекта состоится открытие выставки фотохудожника Владимира Медведева, посвященной Виктору Астафьеву.</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«Этот проект не только дает детям хороший старт для развития своих творческих способностей, но и воспитывает в подрастающем поколении стремление совершать добрые поступки, приобщает к семейным, культурным, патриотическим ценностям. В свои работы дети вкладывают много труда, частицу своей души. Радует, что проект продолжает расти и у него появляются новые партнеры. Мы, в свою очередь, стараемся, чтобы ребята могли учиться у лучших представителей литературы, мэтров пера, привлекая их в качестве наставников», – рассказала Ольга Булатова, директор некоммерческой организации «Территория культуры».</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Программа театральной смены также будет включать творческие встречи с писателями, поэтами, редакторами литературных журналов, актерами, режиссерами и экскурсии по Красноярску и Красноярскому краю, в том числе ребят ждут увлекательное путешествие по реке Енисей и поездка в ЗАТО Зеленогорск.</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Во время смены дети подготовят спектакль под руководством актера и режиссера Алексея Жеребцова. Премьерный показ спектакля с участием юных актеров состоится 29 августа в Красноярске, в Государственном драматическом театре имени А. С. Пушкина.</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«Проект "Территория успеха: Пегас" проводится среди детей из городов присутствия предприятий атомной отрасли и направлен на развитие талантов детей в области литературы, искусства и актерского мастерства. В 2024 году он посвящен 100-летию со дня рождения писателя Виктора Астафьева. То есть мы продолжаем просветительскую миссию проекта. И одновременно формируем у ребят высокие нравственные ценности, которые закладываются в семье, как ячейке общества», – отметила директор Департамента по работе с регионами и органами государственной власти концерна «Росэнергоатом» (входит в Электроэнергетический дивизион «Росатома») Светлана Чурилова.</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Справка:</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Проект «Территория успеха: Пегас» реализуется Фондом «АТР АЭС» и АНО «Центр развития культуры и искусства «Галактика» при поддержке программы «Территория культуры Росатома», концерна «Росэнергоатом», АО «Издательство «Детская литература», Литературного института им. А. М. Горького, Союза писателей России, Литературного музея им. В. П. Астафьева, администраций муниципальных образований атомных городов и зарубежных городов-побратимов из Беларуси, Венгрии и Абхазии.</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«Территория культуры Росатома» является корпоративной программой по развитию культуры в городах присутствия атомной отрасли. Творческие проекты программы направлены на вовлечение жителей «атомных» территорий в актуальный культурный контекст; знакомство с лучшими образцами исполнительского, изобразительного и театрального искусства; а также на поддержку творческих коллективов из числа сотрудников, работающих в организациях и предприятиях госкорпорации «Росатом».</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bookmarkStart w:colFirst="0" w:colLast="0" w:name="_heading=h.gjdgxs" w:id="0"/>
      <w:bookmarkEnd w:id="0"/>
      <w:r w:rsidDel="00000000" w:rsidR="00000000" w:rsidRPr="00000000">
        <w:rPr>
          <w:rtl w:val="0"/>
        </w:rPr>
        <w:t xml:space="preserve">Продолжается работа по повышению уровня доступности и развитию культуры в стране. Крупные российские компании, в том числе госкорпорация «Росатом» уделяет особое внимание поддержке и развитию социальных и культурных инициатив в регионах присутствия – городах расположения АЭС и атомных предприятий.</w:t>
      </w:r>
    </w:p>
    <w:p w:rsidR="00000000" w:rsidDel="00000000" w:rsidP="00000000" w:rsidRDefault="00000000" w:rsidRPr="00000000" w14:paraId="00000021">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vjBgmv7MED/qYl3J2gnmTs8GqA==">CgMxLjAyCGguZ2pkZ3hzOAByITF2dXd4dGVKMFRKc0JQak95MFo2NWVQa1lwOHJXSm1Rbw==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2024-07-30T10:20:00Z</dcterms:created>
  <dc:creator>b v</dc:creator>
</cp:coreProperties>
</file>