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05.07.24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выступил партнером проведения IX Недели устойчивого развития</w:t>
      </w:r>
    </w:p>
    <w:p w:rsidR="00000000" w:rsidDel="00000000" w:rsidP="00000000" w:rsidRDefault="00000000" w:rsidRPr="00000000" w14:paraId="00000009">
      <w:pPr>
        <w:jc w:val="center"/>
        <w:rPr>
          <w:i w:val="1"/>
        </w:rPr>
      </w:pPr>
      <w:r w:rsidDel="00000000" w:rsidR="00000000" w:rsidRPr="00000000">
        <w:rPr>
          <w:i w:val="1"/>
          <w:rtl w:val="0"/>
        </w:rPr>
        <w:t xml:space="preserve">Участники мероприятия обсудили опыт реализации социальной и экологической повестки в регионах присутствия</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Госкорпорация «Росатом» выступила партнером проведения IX Недели устойчивого развития, которая завершилась 5 июля 2024 года в Москве. Мероприятие было организовано Центром корпоративной социальной ответственности и блока предпринимательских программ Московской международной высшей школой бизнеса «МИРБИС» при поддержке Торгово-промышленной палаты РФ, Российского союза промышленников и предпринимателей, компаний «Ростелеком», СУЭК, «Сахалинская энергия» и других.</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Центральными темами мероприятия в 2024 году стали: развитие экологических и социальных инициатив в регионах России, поддержка креативных индустрий, новые форматы экопросвещения и экопредпринимательства, устойчивые технологии.</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В рамках сессии «Региональные практики опережающего развития» участники обсудили результаты уже реализованных проектов в отдельных субъектах РФ. Особое внимание было уделено межсекторному партнерству в регионах и построению эффективного диалога между властью, бизнесом и обществом. Ольга Шкабардня, генеральный директор АНО «Энергия развития» госкорпорации «Росатом», рассказала о работе по развитию социальной активности и экологических практик в атомных городах: «Одной из ключевых  задач для нас является формирование единого системного подхода к работе с социальной повесткой, усиление взаимодействия организаций атомной отрасли, муниципалитетами, НКО. Для этого мы проводим единые стратегические сессии, образовательные программы, акселераторы и  грантовые конкурсы, чтобы выявить и поддержать лучших практик и усиления экспертизы на местах».</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ходе сессии «Опережающие корпоративные стратегии устойчивого развития» встретились представители именно производственных компаний, которые поделились опытом, что есть Устойчивое развитие для реального сектора экономики, реального производства, какие сейчас требования внешней среды для бизнеса. «Актуальность повестки устойчивого развития для бизнеса возрастает пропорционально доли поколения Z, которое выходит на экономическую сцену. Эти ребята требуют обоснованных и научно доказанных решений с анализом всех аспектов влияния», — рассказала Ольга Головихина, директор по направлению «Устойчивое развитие» АО «Русатом Инфраструктурные решения».</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Также эксперты «Росатома» приняли участие в практикуме «Устойчивые решения МСБ для корпоративного сектора: экологические и социальные и инновации», где с другими спикерами обсудили, почему для госкорпорации важно поддерживать локальных экоамбассадоров, а также какие запросы и задачи существуют у представителей  малого и среднего бизнеса в регионах в части создания новых качественных сервисов и продуктов в сфере досуга, гостеприимства, коммуникаций, урбанистики и  креативных индустрий.</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Участники Недели устойчивого развития также посетили Центр аддитивных технологий «Росатома» и познакомились с процессами промышленного производства в области 3D-печати на базе отечественных технологий и оборудования. «Мы увидели, сколько всего уже печатают на 3D-принтерах для большого количества отраслей, какие материалы при этом используются. Импортозамещение и импортоопережение по полной! – поделилась впечатлениями от экскурсии Светлана Герасимова, руководитель проектного офиса “Стратегии и практики устойчивого развития”, председатель экспертного совета Недели устойчивого развития. – Безусловно, аддитивные технологии являются устойчивыми, потому что это колоссальная экономия ресурсов, энергии, трудозатрат и переход на наилучшие доступные чистые технологии целого ряда производств».</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b w:val="1"/>
          <w:rtl w:val="0"/>
        </w:rPr>
        <w:t xml:space="preserve">Cправка:</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«Росатом» является крупнейшим производителем низкоуглеродной электроэнергии в России, обеспечивая порядка 20% от общего объема производимой в стране электроэнергии. Госкорпорация уже много лет осуществляет свою деятельность с учетом повестки устойчивого развития, принципы устойчивого развития внесены в ее долгосрочную стратегию. В 2020 году была принята Единая отраслевая политика в области устойчивого развития. Также с 2020 года госкорпорация «Росатом» является членом международной сети Глобального договора ООН, в декабре 2022 года присоединилась к Национальному ESG Альянсу (в объединение входят более 20 крупных российских компаний, включая ПАО «Сбербанк», Объединенную компанию «Русал», Группу компаний «Дело» и др.). В августе 2023 года Рейтинговое агентство АО «Эксперт РА» присвоило госкорпорации «Росатом» рейтинг ESG-II (b), что соответствует очень высокому уровню соблюдения интересов в области устойчивого развития при принятии ключевых решений.</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Проект «Неделя устойчивого развития» реализуется с 2016 года. Его организатором является проектный офис «Cтратегии и практики устойчивого развития», который действует на базе Центра корпоративной социальной ответственности и блока предпринимательских программ Московской международной высшей школы бизнеса «МИРБИС». Мероприятие вносит вклад в формирование экосистемы устойчивого развития, поддержку инновационных корпоративных продуктов и подходов в сфере устойчивого развития.</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Благодаря развитию проектов в сфере устойчивого развития в России формируется более ответственная бизнес-атмосфера. Учитывается степень ответственности компаний, их воздействие на окружающую среду. Система ESG-рейтингов повышает конкурентоспособность отечественных компаний. «Росатом» принимает активное участие в этой работе.</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 </w:t>
      </w:r>
    </w:p>
    <w:p w:rsidR="00000000" w:rsidDel="00000000" w:rsidP="00000000" w:rsidRDefault="00000000" w:rsidRPr="00000000" w14:paraId="00000024">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AZKq81c8FL3EEr6AVgC9ZZhLUw==">CgMxLjA4AHIhMVZES1VPMEotbjhtUGZWR0U0SUNjVWxZUnZVdWZibjFy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