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обеспечит первый в этом году субсидируемый каботажный рейс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Дальний Восток будут доставлены техника, строительные материалы и продовольствие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июля стартовал первый в этом году субсидируемый каботажный рейс: из порта Архангельск вышло судно «Леди Д». Рейс будет реализован в рамках федерального проекта «Развитие Северного морского пути», входящего в Комплексный план модернизации и расширения магистральной инфраструктуры. Ранее ФГУП «Атомфлот» выполнило закупку на привлечение теплохода стороннего судовладельца.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эту летне-осеннюю навигацию мы обеспечим три субсидируемых каботажных рейса на Дальний Восток, – отметил генеральный директор ФГУП «Атомфлот» Леонид Ирлица. – Первый из них пройдет по маршруту: Архангельск – Находка – Мурманск с заходами в порты Корсаков, Певек, Магадан и Петропавловск-Камчатский. С Дальнего Востока в Мурманск мы обеспечим доставку рыбной продукции».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судно «Леди Д» прибудет в порт Мурманск 25 сентября.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прошлого 2023 года международный транзит по СМП превысил 2 миллиона тонн грузов. 5 июля ФГУП «Атомфлот» подвело предварительные итоги зимне-весенней навигации. В период с 1 января 2024 по 30 июня 2024 года атомные ледоколы обеспечили 438 судозаходов (для сравнения, за аналогичный период 2023 года – 435), общая валовая вместимость составила 50,4 млн тонн (для сравнения, за аналогичный период 2023 года – 48,6 млн тонн).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ФГУП «Атомфлот» было определено победителем отбора на осуществление каботажных субсидируемых рейсов из европейской части Российской Федерации в регионы Дальнего Востока и в обратном направлении, проводимого Министерством Российской Федерации по развитию Дальнего Востока и Арктики.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«Росатома»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F45nb/OgmvwSmGaVJ5n/MElyQ==">CgMxLjA4AHIhMVZEeXhmMVFtNU9kNWdPZVZvNDNncFJ5WnRzUW5DSUwz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