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31.07.24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bookmarkStart w:colFirst="0" w:colLast="0" w:name="_heading=h.gjdgxs" w:id="0"/>
      <w:bookmarkEnd w:id="0"/>
      <w:r w:rsidDel="00000000" w:rsidR="00000000" w:rsidRPr="00000000">
        <w:rPr>
          <w:b w:val="1"/>
          <w:sz w:val="28"/>
          <w:szCs w:val="28"/>
          <w:rtl w:val="0"/>
        </w:rPr>
        <w:t xml:space="preserve">Akkuyu NPP Specialists Complete Concreting of Foundation Slab of Pump Station of Unit No. 3</w:t>
      </w:r>
    </w:p>
    <w:p w:rsidR="00000000" w:rsidDel="00000000" w:rsidP="00000000" w:rsidRDefault="00000000" w:rsidRPr="00000000" w14:paraId="0000000C">
      <w:pPr>
        <w:jc w:val="center"/>
        <w:rPr>
          <w:i w:val="1"/>
        </w:rPr>
      </w:pPr>
      <w:r w:rsidDel="00000000" w:rsidR="00000000" w:rsidRPr="00000000">
        <w:rPr>
          <w:i w:val="1"/>
          <w:rtl w:val="0"/>
        </w:rPr>
        <w:t xml:space="preserve">Concreting works have been completed ahead of the construction schedule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Concreting of the foundation slab of the pump station of Akkuyu NPP Unit No. 3 (which is being built by Rosatom State Corporation in Türkiye).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slab foundation was divided into 8 blocks. Each of them included 4 to 10 concreting stages, depending on their complexity. The concrete volume was almost 20 000 cubic meters, and about 2 000 tons of rebars were used to ensure the maximum strength and reliability of the slab. The weight of the embedded parts installed inside the foundation slab structure, which will constitute a part of a single process unit during operation of the pump station, exceeded 65 tins.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Fonts w:ascii="Calibri" w:cs="Calibri" w:eastAsia="Calibri" w:hAnsi="Calibri"/>
          <w:color w:val="000000"/>
          <w:rtl w:val="0"/>
        </w:rPr>
        <w:t xml:space="preserve">“</w:t>
      </w:r>
      <w:r w:rsidDel="00000000" w:rsidR="00000000" w:rsidRPr="00000000">
        <w:rPr>
          <w:rtl w:val="0"/>
        </w:rPr>
        <w:t xml:space="preserve">The uniqueness of the foundation slab structure is that each concreting stage required tailor-made engineering preparation. All stages had a complex geometric configuration and differed from each other. The slab body, for instance, provides for suction elements for four main pump units. A steel dismountable auxiliary scaffoling structure of suction pipes was developed within the scope of an individual design specially for Akkuyu NPP. Its weight was 212.5 tons. The weight of the support scaffoling system of the suction pipes was 30.5 tons. An ultra-strong concrete was used for concreting. Russian and Turkish specialists ensured high-strength connections between all parts and elements. 350 Russian and Turkish specialists were engaged in the works,</w:t>
      </w:r>
      <w:r w:rsidDel="00000000" w:rsidR="00000000" w:rsidRPr="00000000">
        <w:rPr>
          <w:rFonts w:ascii="Calibri" w:cs="Calibri" w:eastAsia="Calibri" w:hAnsi="Calibri"/>
          <w:color w:val="000000"/>
          <w:rtl w:val="0"/>
        </w:rPr>
        <w:t xml:space="preserve">”</w:t>
      </w:r>
      <w:r w:rsidDel="00000000" w:rsidR="00000000" w:rsidRPr="00000000">
        <w:rPr>
          <w:rtl w:val="0"/>
        </w:rPr>
        <w:t xml:space="preserve"> noted Sergei Butckikh, Chief Executive Officer of Akkuyu Nuclear JSC.</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pump station of Unit No. 3 will comprise two parts: an underground one and above-ground one. After the concrete reaches its design strength, Russian and Turkish specialists will start building the boundary and inner walls of the underground part of the building.</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For reference: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Akkuyu NPP is the first nuclear power plant being built in the Republic of Türkiye. The Akkuyu NPP project includes four power units equipped with Generation 3+ VVER reactors of Russian design. The capacity of each power unit will be 1200 MW. Akkuyu NPP is the first project in the global nuclear industry being implemented according to the Build-Own-Operate model.</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Pump stations of Akkuyu NPP are designed to supply sea water to the main process shops of the nuclear power plant and remove heat from auxiliary equipment of the turbine building. Each power unit will be served by one such station, with their total number being 4.</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YFC+nDyCiVUk9u3OzFp8MQH2OA==">CgMxLjAyCGguZ2pkZ3hzOAByITFxN1hNcHRJQkJUTUtKSkQ1MEx1UjQ4Qmd6RjJYUDdmdQ==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2024-08-01T09:30:00Z</dcterms:created>
  <dc:creator>b v</dc:creator>
</cp:coreProperties>
</file>