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на форуме «ТИБО-2024» подписал дорожную карту о внедрении платформы предиктивной аналитики в Республике Беларусь</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Цифровую платформу «АтомМайнд» планируется задействовать в проектах промышленной цифровизации предприятий, при создании центров компетенций, развитии кадрового потенциала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международном форуме по информационно-коммуникационным технологиям «ТИБО-2024» топливный дивизион Росатома и белорусская ИТ-компания «Международный деловой альянс» подписали дорожную карту сотрудничества.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Основные цели соглашения — применение цифровой платформы «АтомМайнд» в проектах промышленной цифровизации производственных предприятий Республики Беларусь, создание центров компетенций и развитие соответствующего кадрового потенциала предприятий.</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«Топливный дивизион Росатома является одним из локомотивов применения искусственного интеллекта в атомной отрасли. Наша платформа „АтомМайнд“ зарекомендовала себя как надежный инструмент повышения эффективности на предприятиях. Мы развиваем функционал платформы, создаем новые сервисы и стремимся к расширению партнерских связей с другими предприятиями, которым может быть полезен наш опыт. Сегодняшнее соглашение — большой шаг в сторону развития международной кооперации в применении нашего решения», — подчеркнул Евгений Гаранин, вице-президент по цифровизации и информационным технологиям АО «ТВЭЛ» (топливный дивизион Росатома).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«Создание и, что не менее важно, обеспечение цифровой устойчивости — сложная задача, с которой нельзя справиться в одиночку. Поэтому „Международный деловой альянс“ как интегратор и Росатом как поставщик импортонезависимых цифровых решений заключили партнерство с целью построения устойчивых информационных решений в Республике Беларусь», — сказал Дмитрий Коневцев, генеральный директор ЗАО «Международный деловой альянс».</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«Мы всегда ищем мощных локальных партнеров, и нашли их в лице „Международного делового альянса“, который с готовностью взял на себя продвижение и внедрение наших продуктов на территории Беларуси. Подписание дорожной карты позволит развить долгосрочное, эффективное и взаимовыгодное сотрудничество между сторонами в целях применения цифровой платформы „АтомМайнд“ в проектах промышленной цифровизации производственных предприятий Республики Беларусь, создания центров компетенций и развития соответствующего кадрового потенциала предприятий», — отметил Станислав Левицкий, директор странового офиса Госкорпорации «Росатом» в Республике Беларусь — ООО «Русатом Бел».</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Определение производственной площадки для первого внедрения платформы планируется к концу лета этого года.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Платформа предиктивной аналитики «АтомМайнд» — это собственная разработка топливного дивизиона «Росатома», созданная для оптимизации повышения производительности труда, повышения выпуска годной проду</w:t>
      </w:r>
      <w:r w:rsidDel="00000000" w:rsidR="00000000" w:rsidRPr="00000000">
        <w:rPr>
          <w:rtl w:val="0"/>
        </w:rPr>
        <w:t xml:space="preserve">кции</w:t>
      </w:r>
      <w:r w:rsidDel="00000000" w:rsidR="00000000" w:rsidRPr="00000000">
        <w:rPr>
          <w:rtl w:val="0"/>
        </w:rPr>
        <w:t xml:space="preserve">, сокращения времени простоя оборудования и минимизации внеплановых ремонтов.</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Решение запущено в промышленную эксплуатацию в конце 2022 года на Чепецком механическом заводе (предприятие топливного дивизиона Росатома в г. Глазове, Республика Удмуртия). Для контроля технологической дисциплины ежемесячно требуется собрать и анализировать более 2 млн параметров. «АтомМайнд» обеспечивает сбор информации как с датчиков и контроллеров, установленных на оборудовании, так и из основных информационных систем завода — ERP, MES, LIMS, PDM. Платформа собирает весь массив данных, анализирует его, после чего выдает оптимальные настройки работы оборудования, позволяющие повысить выпуск годной продукции. Эффекты от внедрения решения были подтверждены на натурном эксперименте на Чепецком механическом заводе.</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ТИБО — авторитетный международный форум по информационно-коммуникационным технологиям, проходящий в Республике Беларусь. Участниками мероприятия станут сотни экспертов из разных стран, крупнейших производителей телекоммуникационного оборудования, разработчиков и поставщиков высокотехнологичных продуктов, интеллектуальных решений и сервисов. Мероприятие способствует созданию благоприятных условий для укрепления международного сотрудничества, восприятия и внедрения передовых технологий, становления наукоемкой, ресурсосберегающей и конкурентоспособной экономики.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АО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www.tvel.ru.</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Крупные российские компании уделяют большое внимание развитию цифровой экономики, необходимой ИТ-инфраструктуры.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 Росатом и его предприятия принимают активное участие в этой работе.</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В 2024 году Россия председательствует в органах СНГ, в этом качестве она активизировала работу в области дальнейшего укрепления Содружества как интеграционного объединения, повышения его международного авторитета. Росатом и его дивизионы расширяют сотрудничество с предприятиями и организациями стран СНГ. </w:t>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QZ5AmtJ1XevE5yj697LPy2Dsw==">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