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06.06.24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w:t>
      </w:r>
      <w:r w:rsidDel="00000000" w:rsidR="00000000" w:rsidRPr="00000000">
        <w:rPr>
          <w:b w:val="1"/>
          <w:sz w:val="28"/>
          <w:szCs w:val="28"/>
          <w:rtl w:val="0"/>
        </w:rPr>
        <w:t xml:space="preserve">ТВЭЛ» и Правительство Новосибирской области будут развивать электромобильность в регионе</w:t>
      </w:r>
    </w:p>
    <w:p w:rsidR="00000000" w:rsidDel="00000000" w:rsidP="00000000" w:rsidRDefault="00000000" w:rsidRPr="00000000" w14:paraId="00000009">
      <w:pPr>
        <w:spacing w:line="276" w:lineRule="auto"/>
        <w:jc w:val="center"/>
        <w:rPr/>
      </w:pPr>
      <w:r w:rsidDel="00000000" w:rsidR="00000000" w:rsidRPr="00000000">
        <w:rPr>
          <w:i w:val="1"/>
          <w:rtl w:val="0"/>
        </w:rPr>
        <w:t xml:space="preserve">Соглашение о реализации проекта подписано в рамках ПМЭФ-2024</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На Петербургском международном экономическом форуме Топливная компания Росатома «ТВЭЛ» и правительство Новосибирской области заключили соглашение о развитии электромобильности на территории Новосибирской области. Документ подписали президент АО «ТВЭЛ» Наталья Никипелова и губернатор Новосибирской области Андрей Травников. </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Стороны намерены сотрудничать в реализации на территории Концепции по развитию производства и использования электрического автомобильного транспорта в Российской Федерации на период до 2030 года (утверждена распоряжением Правительства Российской Федерации от 23 августа 2021 года) на территории Новосибирской области. Планируется реализовать ряд проектов по созданию электрозарядных хабов быстрой зарядки электромобилей в Новосибирской области в 2024–2025 годах, а также развитие розничной сети электрозарядных станций совместно с региональными операторами. </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Проекты по электромобильности включают развитие городского электротранспорта, в том числе такси, каршеринг, грузовой транспорт, а также создание сети электрозарядных станций на федеральных трассах. </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«Развитие электротранспорта — это национальная задача, реализация которой станет естественным драйвером укрепления технологического суверенитета страны в области автомобильной промышленности. Это будет иметь комплексный эффект для экономики наших регионов, „вытягивая“ ряд смежных отраслей. Мы очень рады, что Новосибирская область занимает активную позицию по развитию электромобильности, а Росатом со своей стороны готов предоставить все свои компетенции в этой сфере. Предприятия атомной промышленности способны производить порядка 60% ключевых компонентов электромобиля, включая аккумуляторные батареи, электродвигатели, композитные материалы, различные вспомогательные автокомпоненты. Более того, Росатом способствует формированию в стране целой новой отрасли электродвижения, где предприятия Госкорпорации будут также строить электрозарядные станции и обеспечивать их электроэнергией», — отметила Наталья Никипелова. </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color w:val="333333"/>
          <w:sz w:val="32"/>
          <w:szCs w:val="32"/>
        </w:rPr>
      </w:pPr>
      <w:r w:rsidDel="00000000" w:rsidR="00000000" w:rsidRPr="00000000">
        <w:rPr>
          <w:rtl w:val="0"/>
        </w:rPr>
        <w:t xml:space="preserve">«Подписанное соглашение – это важный шаг в развитии экологичного электротранспорта в регионе. Особенное значение эта работа, которую мы будем вести совместно с нашим партнёром – Топливным дивизионом «Росатома», имеет для Новосибирска, города с большим количеством автомобильного транспорта. Популяризация электротранспорта, развитие электромобильности в конечном итоге будут способствовать улучшению экологической ситуации в областном центре», - подчеркнул Андрей Травников. </w:t>
      </w:r>
      <w:r w:rsidDel="00000000" w:rsidR="00000000" w:rsidRPr="00000000">
        <w:rPr>
          <w:rtl w:val="0"/>
        </w:rPr>
      </w:r>
    </w:p>
    <w:p w:rsidR="00000000" w:rsidDel="00000000" w:rsidP="00000000" w:rsidRDefault="00000000" w:rsidRPr="00000000" w14:paraId="00000014">
      <w:pPr>
        <w:spacing w:line="276" w:lineRule="auto"/>
        <w:rPr>
          <w:sz w:val="32"/>
          <w:szCs w:val="32"/>
        </w:rPr>
      </w:pPr>
      <w:r w:rsidDel="00000000" w:rsidR="00000000" w:rsidRPr="00000000">
        <w:rPr>
          <w:rtl w:val="0"/>
        </w:rPr>
      </w:r>
    </w:p>
    <w:p w:rsidR="00000000" w:rsidDel="00000000" w:rsidP="00000000" w:rsidRDefault="00000000" w:rsidRPr="00000000" w14:paraId="00000015">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Электродвижение — новое перспективное бизнес-направление Росатома. Координацией развития этого бизнеса занимается АО «ТВЭЛ» — управляющая компания топливного дивизиона. Опираясь на научный, технологический и производственный потенциал предприятий атомной промышленности, Росатом ставит своей целью внести максимальный вклад в решение задачи национального масштаба — формирование в России успешного массового производства электротранспорта, а также необходимой инфраструктуры и регуляторной среды. </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Предприятия Росатома потенциально способны производить около 60% всех компонентов электромобиля, включая аккумуляторные батареи, электродвигатели, магниты из сплавов редкоземельных металлов (включая РЗМ-сырье), микрокомпонентную базу, полимерные и композитные материалы. Объединение усилий электроэнергетического дивизиона, а также дивизиона «АСУ ТП и электротехника» позволит создавать сети электрозарядных станций на оборудовании российского производства. Кроме того, Росатом намерен внедрять на российском рынке новые сервисы для владельцев электромобилей. </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Сотрудничество Росатома с регионами в области электромобильности основано на комплексном подходе, который включает шаги по внедрению электротранспорта, в том числе пассажирского, и развитию электрозарядной инфраструктуры для стимулирования перехода на электромобили.</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Топливный дивизион Госкорпорации «Росатом» (Топливная компания Росатома «ТВЭЛ»)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Росатома является крупнейшим в мире производителем обогащенного урана, а также лидером глобального рынка стабильных изотопов. В топливном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Топливной компании «ТВЭЛ» созданы отраслевые интеграторы Росатома по аддитивным технологиям, системам накопления электроэнергии и выводу из эксплуатации ЯРОО. http://www.tvel.ru.</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rsidR="00000000" w:rsidDel="00000000" w:rsidP="00000000" w:rsidRDefault="00000000" w:rsidRPr="00000000" w14:paraId="00000020">
      <w:pPr>
        <w:spacing w:line="276" w:lineRule="auto"/>
        <w:rPr>
          <w:sz w:val="28"/>
          <w:szCs w:val="28"/>
        </w:rPr>
      </w:pPr>
      <w:r w:rsidDel="00000000" w:rsidR="00000000" w:rsidRPr="00000000">
        <w:rPr>
          <w:rtl w:val="0"/>
        </w:rPr>
        <w:t xml:space="preserve"> </w:t>
      </w: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ZZRIg18sRXCfHEMESRPWRsFJw==">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