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ПМЭФ-2024 подписано соглашение о сотрудничестве «Росатома» с Саратовской областью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Документ предусматривает активизацию технологического и инновационного развития города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2024 года в рамках деловой программы Петербургского международного экономического форума подписаны соглашение о сотрудничестве госкорпорации «Росатом» с правительством Саратовской области и перечень мероприятий социально-экономического и инфраструктурного развития города Балаково (город-спутник Балаковской АЭС) на 2024 год.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направлено на активизацию технологического и инновационного развития города за счет внедрения комплексных отраслевых программ и продуктов госкорпорации, а также выполнения мероприятий социально-экономического и инфраструктурного развития. Согласно документу, в текущем году в город атомщиков будет дополнительно привлечено более полутора миллиардов рублей.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выделенные в рамках соглашения средства в Балакове будут реализованы мероприятия по переселению граждан из аварийного жилищного фонда, выполнен ремонт дорог, обновлен парк городского общественного транспорта, благоустроена набережная Судоходного канала у моста Победы, создан Центр культурного развития, построено жилье для медиков и многое другое.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«Сотрудничество с “Росатомом” и заключение соглашения — важный шаг в обеспечении устойчивого развития Саратовской области. Совместными усилиями мы сможем реализовать проекты по улучшению городской инфраструктуры, модернизации и дооснащения городских объектов, оказать поддержку программам образования, культуры и спорта. Такое партнерство открывает широкий спектр возможностей для улучшения жизни населения региона», — отметил губернатор Саратовской области Роман Бусаргин.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ведет активную работу по созданию максимально комфортной инфраструктуры более чем в 30 городах своего присутствия. Для активизации этой работы в 2023 году стартовала программа «Люди и города». Она направлена на повышение качества жизни в городах присутствия и достижение лидерства в технологическом развитии в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присутствия «Росатома».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реализуются соглашения о сотрудничестве госкорпорации «Росатом» с Воронежской, Курской, Ленинградской, Мурманской, Ростовской, Свердловской, Смоленской и Тверской областью, а также Чукотским автономным округом. Соглашения «Росатома» с регионами действуют с 2012 года, и за это время на развитие городов расположения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АЭС в общей сумме направлено более 24 миллиардов рублей. Ежегодно для каждого города присутствия АЭС стороны утверждают перечень мероприятий социально-экономического и инфраструктурного развития и определяют объем финансирования.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5KLiG8Dx66KEtk84iQhxxSRUg==">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