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ПМЭФ-2024 подписано соглашение о сотрудничестве Росатома с Чукотским автономным округом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Подписи под документом поставили генеральный директор Росатома Алексей Лихачев и губернатор Чукотского автономного округа Владислав Кузнецов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2024 года в рамках деловой программы Петербургского международного экономического форума состоялось подписание соглашения о сотрудничестве Госкорпорации «Росатом» с правительством Чукотского автономного округа.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предусматривает развитие городских округов Певек и Эгвекинот, а также Билибинского муниципального района за счет внедрения комплексных отраслевых программ и продуктов Госкорпорации, реализации мероприятий социально-экономического и инфраструктурного развития.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закрепляет возможность содействия реализации инвестиционных проектов в сфере технологичного производства и энергетики, включая перспективы развития проектов АЭС малой мощности, Северного морского пути, проектов в области геологоразведки, добычи и переработки полезных ископаемых, ликвидации объектов накопленного вреда окружающей среде, а также развития транспортной доступности региона. Кроме того, соглашение направлено на разработку комплексного плана социально-экономического развития городских округов Певек и Эгвекинот, а также Билибинского района на среднесрочный период. В этом направлении Госкорпорация сотрудничает с правительством Чукотского автономного округа по вопросам разработки мастер-планов развития опорных населенных пунктов Арктики в рамках перечня поручений Президента России.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январе 2024 года уже была подписана программа финансирования стратегических инициатив концерна «Росэнергоатом» и правительства Чукотки для городов Певек и Билибино. Согласно документу, муниципалитетам выделено суммарно 543,28 млн рублей. Финансирование направлено на развитие и благоустройство городов присутствия атомных станций. В Билибино средства пошли на оснащение центральной библиотеки, приобретение мебели для детских садов, школ, районного центра детского образования, детско-юношеской спортивной школы,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городского краеведческого музея, а также ремонт кровли спортивно-оздоровительного комплекса, внутриквартальных проездов, благоустройство территории на антенном поле. В Певеке планируют благоустроить территорию рядом с культурно-досуговым комплексом «Айсберг», завершить работы по обустройству городской набережной, начать строительство физкультурно-оздоровительного комплекса и многое другое.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«Партнерство Росатома с Чукотским автономным округом дает мощный импульс инновационному и промышленному развитию атомных городов северного региона. Средства, привлекаемые в рамках соглашения, позволяют оказывать поддержку проектам по благоустройству общественных пространств, улучшению объектов городской инфраструктуры, повышению качества жизни людей», — отметил Алексей Лихачев.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ведет активную работу по созданию максимально комфортной инфраструктуры более чем в 30 городах своего присутствия. Для активизации этой работы в 2023 году стартовала программа «Люди и города». Она направлена на повышение качества жизни в городах присутствия и достижение лидерства в технологическом развитии в 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социально- общественную жизнь; формирование условий по развитию медицины в городах присутствия Росатома.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реализуются соглашения о сотрудничестве Госкорпорации «Росатом» с Воронежской, Курской, Ленинградской, Мурманской, Ростовской, Свердловской, Смоленской, Саратовской и Тверской областью. Ежегодно для каждого города присутствия АЭС стороны утверждают перечень мероприятий социально-экономического и инфраструктурного развития и определяют объем финансирования. Соглашения действуют с 2012 года, и за это время в города расположения АЭС в общей сумме направлено более 24 миллиардов рублей.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4QoNT34olR7by1L/ufsQ1/cczA==">CgMxLjAiiQIKC0FBQUJQSzRpbE04EtUBCgtBQUFCUEs0aWxNOBILQUFBQlBLNGlsTTgaDQoJdGV4dC9odG1sEgAiDgoKdGV4dC9wbGFpbhIAKhsiFTEwNzgwOTMyNDA0NTcyODgzNTQzNSgAOAAw3/nc6P4xONL+3Oj+MUo7CiRhcHBsaWNhdGlvbi92bmQuZ29vZ2xlLWFwcHMuZG9jcy5tZHMaE8LX2uQBDRoLCgcKAT0QARgAEAFaDG9yanNnaWNjdTE1eXICIAB4AIIBFHN1Z2dlc3QuMXZsaDBqYTN2MmZ2mgEGCAAQABgAGN/53Oj+MSDS/tzo/jFCFHN1Z2dlc3QuMXZsaDBqYTN2MmZ2OABqIwoUc3VnZ2VzdC5lemQ5bnp1aDU2eDESC1N0cmFuZ2UgQ2F0aiMKFHN1Z2dlc3QuYnpnMXQzamU2OHBvEgtTdHJhbmdlIENhdGojChRzdWdnZXN0LmgzN2Q3MTd4MjIzeBILU3RyYW5nZSBDYXRqIwoUc3VnZ2VzdC5lMGlpanBkNmIwdGUSC1N0cmFuZ2UgQ2F0aiIKE3N1Z2dlc3QubTM5c3QxNmtlZ20SC1N0cmFuZ2UgQ2F0aiMKFHN1Z2dlc3QuMXZsaDBqYTN2MmZ2EgtTdHJhbmdlIENhdGojChRzdWdnZXN0Lm05M3Zpamw1OXNkbBILU3RyYW5nZSBDYXRqIwoUc3VnZ2VzdC40YmdmZjI4ZTFodGcSC1N0cmFuZ2UgQ2F0aiMKFHN1Z2dlc3QuYnB1MHBodDB1NGRkEgtTdHJhbmdlIENhdGojChRzdWdnZXN0LnQzanBwZTFucGl1ahILU3RyYW5nZSBDYXRqIwoUc3VnZ2VzdC41ZThiazE0ZzFwNjYSC1N0cmFuZ2UgQ2F0aiMKFHN1Z2dlc3QuNGFmMjdyNWFzMjYzEgtTdHJhbmdlIENhdGojChRzdWdnZXN0LmpnYmF0NmFhd3RiaBILU3RyYW5nZSBDYXRqIwoUc3VnZ2VzdC5tMTdtamoxbXVqMDUSC1N0cmFuZ2UgQ2F0aiMKFHN1Z2dlc3Quemd5MDFkZzZvbmgyEgtTdHJhbmdlIENhdGojChRzdWdnZXN0LjV6eWlnN21ydTlqZBILU3RyYW5nZSBDYXRqIwoUc3VnZ2VzdC4xZHo0MW5sbzhjZmESC1N0cmFuZ2UgQ2F0aiMKFHN1Z2dlc3QucWM1bHA0bTNuY3FpEgtTdHJhbmdlIENhdGojChRzdWdnZXN0LmZ4Mmo4dmgya3l3MRILU3RyYW5nZSBDYXRqIwoUc3VnZ2VzdC5icWwzNXI2b3NsbXQSC1N0cmFuZ2UgQ2F0aiMKFHN1Z2dlc3Qub3Bza2ltdnBwNDJxEgtTdHJhbmdlIENhdGojChRzdWdnZXN0LmVzdXpmeWtlYTR4NhILU3RyYW5nZSBDYXRqIwoUc3VnZ2VzdC5qbDN3NGF6ZjJpaHcSC1N0cmFuZ2UgQ2F0aiMKFHN1Z2dlc3Qub3h2M29iN3ZvM2ltEgtTdHJhbmdlIENhdGojChRzdWdnZXN0LmpzbWI5MjlrYnBqaxILU3RyYW5nZSBDYXRqIwoUc3VnZ2VzdC5mNWo1ZDc3b2ZtejkSC1N0cmFuZ2UgQ2F0aiMKFHN1Z2dlc3QuM3R1Y283aHN1N3RyEgtTdHJhbmdlIENhdHIhMTEwWDIzc2J6LUYtdjVudFViRTdGelNmdko1VFEyVU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