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19.06.24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Лучшими атомными станциями России по итогам 2023 года признаны Балаковская, Калининская, Кольская и Курская АЭС </w:t>
      </w:r>
    </w:p>
    <w:p w:rsidR="00000000" w:rsidDel="00000000" w:rsidP="00000000" w:rsidRDefault="00000000" w:rsidRPr="00000000" w14:paraId="00000009">
      <w:pPr>
        <w:spacing w:line="276" w:lineRule="auto"/>
        <w:jc w:val="center"/>
        <w:rPr/>
      </w:pPr>
      <w:r w:rsidDel="00000000" w:rsidR="00000000" w:rsidRPr="00000000">
        <w:rPr>
          <w:i w:val="1"/>
          <w:rtl w:val="0"/>
        </w:rPr>
        <w:t xml:space="preserve">В концерне «Росэнергоатом» (входит в контур управления госкорпорации «Росатом») подвели итоги ежегодного конкурса «Лучшая АЭС России»</w:t>
      </w: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Лучшей атомной станцией по итогам работы в 2023 году признана Балаковская АЭС (г. Балаково, Саратовская обл.). Кроме того, в список лидеров, набравших по результатам оценки конкурсной комиссии максимальное количество баллов, вошла Калининская АЭС, занявшая 2-е место, а также Кольская и Курская атомные станции, разделившие 3-е место.</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Генеральный директор концерна «Росэнергоатом» Александр Шутиков, комментируя итоги конкурса, отметил, что выявление лучших атомных станций фактически является подведением итогов работы трудовых коллективов за весь год. «Эта задача предполагает состязательность множества параметров и практик. При определении лучших атомных станций учитывается целый ряд показателей, касающихся эффективности работы и технического обслуживания, состояния физической защиты, охраны труда, окружающей среды и многого другого. Но главным приоритетом, как и прежде, для нас остается безопасность. В прошлом году, как и все предыдущие годы, АЭС России работали надежно и безопасно, и это — заслуга слаженной работы всех станций без исключения», — сказал он.</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Балаковская АЭС получила звание «Лучшая АЭС России» уже в 20-й раз. Одним из главных достижений 2023 года для атомной станции стало продление срока эксплуатации энергоблока № 4 до 2051 года. В 2023 году атомная станция была в 12-й раз признана лучшей в области культуры безопасности. Также она является признанным лидером отрасли в сфере внедрения Производственной системы «Росатома» (ПСР). По результатам работы в 2023 году станция в 9-й раз подтвердила статус «Лидер ПСР», впервые получила новый престижный статус «Цифровое ПСР-предприятие» и награду «Росатома» в спецноминации «Лучшая экологически образцовая организация атомной отрасли за 10 лет». Также по итогам партнерской проверки ВАО АЭС, которая прошла на предприятии летом 2023 г., БалАЭС получила наивысшую оценку.</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Калининская АЭС в 2023 году сократила сроки ремонтной кампании, выполнив ее за 97,5 суток при плане 101 — с безусловным соблюдением высокого качества работ. В прошедшем году на атомной станции была внедрена эффективная система, позволяющая своевременно выявлять предвестники неправильных действий персонала и оперативно принимать меры по корректировке его действий. Также Калининская АЭС стала первой станцией, на которой были установлены самостабилизаторы давления (ССД) на системах, важных для безопасности. Внедрение этой практики показало высокую эффективность и позволило полностью устранить замечания, связанные с гидроударами и пульсациями давления среды. Кроме того, в 2023 году на КлнАЭС приступили к исследованию технологии мюонной томографии ядерного реактора и запустили полнофункциональный образец гибридного мюонного томографа. Эта уникальная отечественная разработка позволяет провести полное дистанционное обследование ядерного реактора, а в перспективе сможет повысить уровень безопасности работы крупных промышленных объектов, в том числе в атомной энергетике. Также атомная станция была признана лучшим предприятием Верхневолжья в области охраны труда, лидером природоохранной деятельности в России и отмечена Национальной экологической премией имени В. И. Вернадского.</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pPr>
      <w:r w:rsidDel="00000000" w:rsidR="00000000" w:rsidRPr="00000000">
        <w:rPr>
          <w:rtl w:val="0"/>
        </w:rPr>
        <w:t xml:space="preserve">Кольская АЭС — самая северная АЭС Европы, отметившая в 2023 году свое 50-летие, смогла достичь ряда рекордных показателей, включая исторический максимум нагрузки на уровне 1860 МВт — это пиковая мощность за все время работы заполярной атомной станции, а также выработать максимальное за последние 30 лет количество электроэнергии в сутки — 42,44 млн кВт · ч. Еще была получена рекордная за всю историю атомной станции выручка — более 15,5 млрд рублей. В этом же году КолАЭС третий раз подряд стала лучшей в России в области культуры безопасности и вошла в тройку лидеров по охране труда и экологической безопасности среди предприятий Мурманской области. Кроме того, в 2023 году на специализированном комплексе по переработке жидких радиоактивных отходов (КП ЖРО) была введена в промэксплуатацию установка по производству борной кислоты — важного элемента в производственном цикле атомной станции. Сегодня заполярная АЭС обозначена распоряжением Правительства РФ как перспективная площадка для развития и размещения центра обработки данных (ЦОД), который станет базовой инфраструктурой для новых высоконагруженных цифровых платформ и сервисов Северного морского пути и Арктической зоны.</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pPr>
      <w:r w:rsidDel="00000000" w:rsidR="00000000" w:rsidRPr="00000000">
        <w:rPr>
          <w:rtl w:val="0"/>
        </w:rPr>
        <w:t xml:space="preserve">Курская АЭС в 2023 году выполнила с опережением графика ремонтную кампанию, сократив сроки ремонта за год в сумме на 39 суток, что дало 763,45 млн кВт · ч дополнительной выработки. В июле станция отгрузила первую партию изотопа кобальта (Со-60) в рамках достижения стратегической цели «Росатома» по созданию новых продуктов для российского и международного рынков. Также в прошлом году КуАЭС была удостоена премии признательности «Лидер года-2023», заняла 1-е место в рейтинге «Промышленный туризм: лидеры России — 2023» и вошла в топ-3 компаний-лидеров в номинациях «Ознакомительный туризм», «Лидеры регионов России», «Профориентационный туризм». С 2003 года на экскурсиях с работой предприятия ознакомились свыше 200 тысяч человек. Они побывали в том числе и на площадке сооружения станции замещения Курская АЭС-2. Там в прошедшем году было выполнено пять госзаданий и семь ключевых событий — большинство с опережением плана, а также завершено бетонирование оболочки самых высоких в России градирен — каждая по 179 метров. Еще одно важное событие 2023 года — пролив систем безопасности на открытый реактор блока № 1.</w:t>
      </w:r>
    </w:p>
    <w:p w:rsidR="00000000" w:rsidDel="00000000" w:rsidP="00000000" w:rsidRDefault="00000000" w:rsidRPr="00000000" w14:paraId="00000016">
      <w:pPr>
        <w:spacing w:line="276" w:lineRule="auto"/>
        <w:rPr/>
      </w:pPr>
      <w:r w:rsidDel="00000000" w:rsidR="00000000" w:rsidRPr="00000000">
        <w:rPr>
          <w:rtl w:val="0"/>
        </w:rPr>
        <w:t xml:space="preserve"> </w:t>
      </w:r>
    </w:p>
    <w:p w:rsidR="00000000" w:rsidDel="00000000" w:rsidP="00000000" w:rsidRDefault="00000000" w:rsidRPr="00000000" w14:paraId="00000017">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8">
      <w:pPr>
        <w:spacing w:line="276" w:lineRule="auto"/>
        <w:rPr/>
      </w:pPr>
      <w:r w:rsidDel="00000000" w:rsidR="00000000" w:rsidRPr="00000000">
        <w:rPr>
          <w:rtl w:val="0"/>
        </w:rPr>
        <w:t xml:space="preserve">Сегодня в состав концерна «Росэнергоатом» на правах филиалов входят 11 действующих АЭС, в эксплуатации находятся 36 энергоблоков (включая плавучий энергоблок (ПЭБ) ПАТЭС в составе двух реакторных установок) суммарной установленной мощностью свыше 28,5 ГВт.</w:t>
      </w:r>
    </w:p>
    <w:p w:rsidR="00000000" w:rsidDel="00000000" w:rsidP="00000000" w:rsidRDefault="00000000" w:rsidRPr="00000000" w14:paraId="00000019">
      <w:pPr>
        <w:spacing w:line="276" w:lineRule="auto"/>
        <w:rPr/>
      </w:pPr>
      <w:r w:rsidDel="00000000" w:rsidR="00000000" w:rsidRPr="00000000">
        <w:rPr>
          <w:rtl w:val="0"/>
        </w:rPr>
        <w:t xml:space="preserve"> </w:t>
      </w:r>
    </w:p>
    <w:p w:rsidR="00000000" w:rsidDel="00000000" w:rsidP="00000000" w:rsidRDefault="00000000" w:rsidRPr="00000000" w14:paraId="0000001A">
      <w:pPr>
        <w:spacing w:line="276" w:lineRule="auto"/>
        <w:rPr/>
      </w:pPr>
      <w:r w:rsidDel="00000000" w:rsidR="00000000" w:rsidRPr="00000000">
        <w:rPr>
          <w:rtl w:val="0"/>
        </w:rPr>
        <w:t xml:space="preserve">Энергетика является основой поступательного социально-экономического развития страны, снабжения промышленности и граждан. Россия продолжает модернизацию энергокомплекса, в том числе атомных мощностей. Эта работа осуществляется с учетом современных трендов цифровизации и замещения импортного оборудования. Доля низкоуглеродной электрогенерации в российской энергетике составляет уже около 40%. В перспективе, с учетом роста доли атомной генерации, она будет только расти.</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В настоящее время доля атомной генерации составляет около 20% от всего объема выработки электроэнергии в стране. Таким образом, каждая пятая лампочка в Российской Федерации горит от энергии, выработанной атомными станциями.</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t xml:space="preserve">Оперативная информация о радиационной обстановке вблизи АЭС России и других объектов атомной отрасли представлена на сайте www.russianatom.ru. </w:t>
      </w:r>
    </w:p>
    <w:p w:rsidR="00000000" w:rsidDel="00000000" w:rsidP="00000000" w:rsidRDefault="00000000" w:rsidRPr="00000000" w14:paraId="0000001F">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C56287"/>
    <w:rPr>
      <w:color w:val="0563c1" w:themeColor="hyperlink"/>
      <w:u w:val="single"/>
    </w:rPr>
  </w:style>
  <w:style w:type="character" w:styleId="UnresolvedMention">
    <w:name w:val="Unresolved Mention"/>
    <w:basedOn w:val="DefaultParagraphFont"/>
    <w:uiPriority w:val="99"/>
    <w:semiHidden w:val="1"/>
    <w:unhideWhenUsed w:val="1"/>
    <w:rsid w:val="00C56287"/>
    <w:rPr>
      <w:color w:val="605e5c"/>
      <w:shd w:color="auto" w:fill="e1dfdd" w:val="clear"/>
    </w:rPr>
  </w:style>
  <w:style w:type="paragraph" w:styleId="Header">
    <w:name w:val="header"/>
    <w:basedOn w:val="Normal"/>
    <w:link w:val="HeaderChar"/>
    <w:uiPriority w:val="99"/>
    <w:unhideWhenUsed w:val="1"/>
    <w:rsid w:val="00C56287"/>
    <w:pPr>
      <w:tabs>
        <w:tab w:val="center" w:pos="4680"/>
        <w:tab w:val="right" w:pos="9360"/>
      </w:tabs>
    </w:pPr>
  </w:style>
  <w:style w:type="character" w:styleId="HeaderChar" w:customStyle="1">
    <w:name w:val="Header Char"/>
    <w:basedOn w:val="DefaultParagraphFont"/>
    <w:link w:val="Header"/>
    <w:uiPriority w:val="99"/>
    <w:rsid w:val="00C56287"/>
  </w:style>
  <w:style w:type="paragraph" w:styleId="Footer">
    <w:name w:val="footer"/>
    <w:basedOn w:val="Normal"/>
    <w:link w:val="FooterChar"/>
    <w:uiPriority w:val="99"/>
    <w:unhideWhenUsed w:val="1"/>
    <w:rsid w:val="00C56287"/>
    <w:pPr>
      <w:tabs>
        <w:tab w:val="center" w:pos="4680"/>
        <w:tab w:val="right" w:pos="9360"/>
      </w:tabs>
    </w:pPr>
  </w:style>
  <w:style w:type="character" w:styleId="FooterChar" w:customStyle="1">
    <w:name w:val="Footer Char"/>
    <w:basedOn w:val="DefaultParagraphFont"/>
    <w:link w:val="Footer"/>
    <w:uiPriority w:val="99"/>
    <w:rsid w:val="00C56287"/>
  </w:style>
  <w:style w:type="character" w:styleId="FollowedHyperlink">
    <w:name w:val="FollowedHyperlink"/>
    <w:basedOn w:val="DefaultParagraphFont"/>
    <w:uiPriority w:val="99"/>
    <w:semiHidden w:val="1"/>
    <w:unhideWhenUsed w:val="1"/>
    <w:rsid w:val="00C56287"/>
    <w:rPr>
      <w:color w:val="954f72" w:themeColor="followedHyperlink"/>
      <w:u w:val="single"/>
    </w:rPr>
  </w:style>
  <w:style w:type="table" w:styleId="TableGrid">
    <w:name w:val="Table Grid"/>
    <w:basedOn w:val="TableNormal"/>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6AF4W/6Rymq/hB4VicuIwDSHuA==">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2023-11-17T07:32:00Z</dcterms:created>
  <dc:creator>b v</dc:creator>
</cp:coreProperties>
</file>