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24.06.24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 стройплощадке блока № 2 Курской АЭС-2 завершено бетонирование фундаментной плиты под турбоагрегат 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На ней будут монтироваться составные части турбины массой 3500 тонн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На стройплощадке блока № 2 второй очереди Курской АЭС (филиал АО «Концерн Росэнергоатом», электроэнергетический дивизион госкорпорации «Росатом») завершено бетонирование фундаментной плиты под турбоагрегат.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Фундаментная плита, габариты которой 95 на 61 метр, — это важный элемент всего машинного зала, являющийся частью турбоагрегата. На ней будут монтироваться составные части турбины, общая масса которой — около 3500 тонн. Фундамент должен обеспечивать равномерное распределение нагрузки с учетом уровня вибрации, образующейся во время работы крупногабаритного оборудования. Для этого толщина верхней фундаментной плиты варьируется от 4,6 до 5,3 метра в разных частях (в зависимости от силы оказываемой нагрузки).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«При устройстве монолитного фундамента применена современная система виброизоляции. Она автоматически минимизирует уровень вибрации и колебания при эксплуатации. Весь фундамент состоит из нижней плиты, железобетонных колонн и верхней фундаментной плиты с системой виброизоляции: 89 виброизоляторов массой около 600 килограммов каждый», — прокомментировал директор Курской АЭС Александр Увакин.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«Процесс бетонирования фундамента составил 36 часов и проходил в несколько этапов. На каждом этапе осуществлялся контроль качества выполняемых работ. Учитывая, что в период эксплуатации фундамент будет нести динамические нагрузки, а при этом велика опасность расслоения бетона, особые требования в процессе бетонирования применялись к качеству бетонной смеси. Для бетонирования применялась самоуплотняющаяся бетонная смесь. Фактический объем бетонирования составил 2454 кубических метра. В работах было задействовано около 70 специалистов подрядной организации АО „Концерн Титан-2“. В течение 28 суток с момента укладки смеси бетон будет набирать проектную прочность», — пояснил вице-президент АО «Атомстройэкспорт», директор проекта по сооружению Курской АЭС-2 Олег Шперле.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Курская АЭС-2 — станция замещения, включающая два блока мощностью 1255 МВт каждый. Сооружение энергоблоков № 1 и 2 Курской АЭС-2 осуществляется в рамках федерального проекта «Проектирование и строительство референтных энергоблоков атомных электростанций» Комплексной программы «Развитие техники, технологий и научных исследований в области использования атомной энергии в Российской Федерации на период до 2024 года». Строительство Курской АЭС-2 имеет стратегическое значение для устойчивого развития атомной промышленности.  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Российская атомная отрасль трансформировалась из штучного производителя в конвейер атомных технологий, «фабрику реакторов», что позволяет занимать России лидирующие позиции в мире по экспорту атомных технологий. Сегодня доля выработки электроэнергии атомными станциями в энергобалансе России составляет около 20%, а к 2045 году должна достигнуть 25%. Такое поручение было дано госкорпорации «Росатом» Президентом России.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Топливно-энергетический комплекс (ТЭК) был и остается одной из важнейших составляющих экономики России, влияющей на развитие других отраслей промышленности. Президент и Правительство РФ ставят задачи по его развитию с целью укрепления производственного и технологического потенциала страны, повышения качества жизни граждан России. «Росатом» и его предприятия принимают активное участие в этой работе. </w:t>
      </w:r>
    </w:p>
    <w:p w:rsidR="00000000" w:rsidDel="00000000" w:rsidP="00000000" w:rsidRDefault="00000000" w:rsidRPr="00000000" w14:paraId="0000001A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6287"/>
  </w:style>
  <w:style w:type="paragraph" w:styleId="Footer">
    <w:name w:val="footer"/>
    <w:basedOn w:val="Normal"/>
    <w:link w:val="Foot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628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VqQEAueXV5WjCDw0/p7iDCbiHg==">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