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Общественной палате РФ наградили победителей конкурса лучших практик бизнеса по воспитанию детей и молодежи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Конкурс «Лидеры изменений: вклад бизнеса в сферу воспитания» был организован при поддержке топливного дивизиона Росатома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15 мая 2024 года в Общественной палате Российской Федерации состоялась церемония награждения победителей конкурса корпоративных социальных программ «Лидеры изменений: вклад бизнеса в сферу воспитания». Федеральный конкурс, приуроченный к 200-летию выдающегося русского педагога Константина Ушинского, был организован автономной некоммерческой организацией «Агентство социальных технологий и коммуникаций» при поддержке топливного дивизиона Росатома и Общественной палаты РФ.</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мероприятии приняли участие представители Министерства просвещения РФ, Общественной палаты РФ, АО «ТВЭЛ», а также руководители компаний — победителей и призеров.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Цель проекта заключалась в том, чтобы выявить и популяризировать эффективные подходы к участию коммерческих структур в воспитании подростков и молодежи. С октября 2023-го по апрель 2024 года в конкурсе приняли участие компании из 19 регионов России, представившие свои проекты.</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Победители и призеры конкурса определялись в трех номинациях.</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категории «Крупный бизнес» первое место было присуждено АО «ФНПЦ „ПО ‚Старт‘ им. М. В. Проценко“» (г. Заречный, Пензенская обл.) за проект «Арт-экология в детских садах». Второе место разделили ООО «Жешартский ЛПК» (пгт Жешарт, Республика Коми) за проект «Программы профориентации на примере трудового лагеря „Чистый Жешарт“» и АО «Чепецкий механический завод» (г. Глазов, Республика Удмуртия) за проект «Слет участников военно-патриотических клубов городов присутствия Госкорпорации „Росатом“ „Молодежный арсенал“».</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категории «Средний бизнес» первое место заняла детская клиника «Медлэнд» (ООО «Центр Медика», г. Нижний Новгород, Нижегородская обл.) за проект «Школа юного врача». Второе место было отдано ООО «ЭнергоПромРесурс» (г. Заречный, Пензенская обл.) за проект «Молодежный клуб „Энергия“ — платформа для развития и адаптации подрастающего поколения в современном цифровом мире». Третье место занял филиал «Кировмежрайгаз» ОАО «Калугаоблгаз» (г. Киров, Калужская обл.) за проект «Программа патриотических проектов и мероприятий для молодежи „Мы вместе“».</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В категории «Малый бизнес» первое место завоевало ООО «Рестконсалт» (</w:t>
      </w:r>
      <w:r w:rsidDel="00000000" w:rsidR="00000000" w:rsidRPr="00000000">
        <w:rPr>
          <w:rtl w:val="0"/>
        </w:rPr>
        <w:t xml:space="preserve">Москва</w:t>
      </w:r>
      <w:r w:rsidDel="00000000" w:rsidR="00000000" w:rsidRPr="00000000">
        <w:rPr>
          <w:rtl w:val="0"/>
        </w:rPr>
        <w:t xml:space="preserve">) за проект «Поддержка образовательных организаций и проведение программ профориентаций в ресторанах „Мясо&amp;Рыба“». Второе место заняло ООО «Кофе Плюс» (г. Сыктывкар, Республика Коми) за проект «Дополнительная общеобразовательная общеразвивающая программа „Современная электроника и инновационные инженерные технологии“». Третьим местом было отмечено ООО «Драйв Кидс» (г. Новоуральск, Свердловская обл.) за проект «Детский </w:t>
      </w:r>
      <w:r w:rsidDel="00000000" w:rsidR="00000000" w:rsidRPr="00000000">
        <w:rPr>
          <w:rtl w:val="0"/>
        </w:rPr>
        <w:t xml:space="preserve">квадромотоклуб</w:t>
      </w:r>
      <w:r w:rsidDel="00000000" w:rsidR="00000000" w:rsidRPr="00000000">
        <w:rPr>
          <w:rtl w:val="0"/>
        </w:rPr>
        <w:t xml:space="preserve"> „Драйв Кидс“».</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Специальным призом было отмечено ИП Ошуркова А. А. (г. Новоуральск, Свердловская обл.) за проект «Ремесленный коворкинг. Открытая мастерская в закрытом городе».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Проекты победителей конкурса будут представлены в специальном сборнике лучших практик, который будет распространен среди образовательных организаций, органов власти и общественных институтов.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Директор по региональной работе и социальным проектам АО «ТВЭЛ» Юрий Кривов отметил, что на сегодня большинство работодателей уже признают необходимость этической составляющей в комплексной оценке специалиста и его навыков. «Эти личностные характеристики закладываются, как правило, в детстве и юности в процессе социального воспитания. Отсюда наш интерес к этой теме и желание диалога с со всеми  субъектами процесса социализации подрастающего поколения. Мы давно во взаимодействии с органами местного самоуправления, местными сообществами, образовательными организациями ведем эту работу в городах присутствия наших предприятий. И очень приятно было по ходу проведения конкурса убедиться, что мы не одиноки в своем желании помочь российским семьям, школам, другим педагогическим институциям воспитать подрастающее поколение в духе традиционных ценностей нашего многонационального народа, вырастить настоящих патриотов своей страны», — подчеркнул он.</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w:t>
      </w:r>
      <w:hyperlink r:id="rId9">
        <w:r w:rsidDel="00000000" w:rsidR="00000000" w:rsidRPr="00000000">
          <w:rPr>
            <w:color w:val="0563c1"/>
            <w:u w:val="single"/>
            <w:rtl w:val="0"/>
          </w:rPr>
          <w:t xml:space="preserve">http://www.tvel.ru</w:t>
        </w:r>
      </w:hyperlink>
      <w:r w:rsidDel="00000000" w:rsidR="00000000" w:rsidRPr="00000000">
        <w:rPr>
          <w:rtl w:val="0"/>
        </w:rPr>
        <w:t xml:space="preserve">. </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В 2023 году Росатом запустил программу «Люди и города», которая направлена на формирование устойчивой социальной среды, повышение качества жизни и развитие экокультуры в городах присутствия предприятий Госкорпорации. Конечная цель проекта — превращение атомных городов в лидеров по уровню качества жизни и привлекательности для молодого поколения при выборе места для личного и профессионального развития.</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реализацию социальных проектов, развитие соответствующей инфраструктуры. Росатом и его предприятия принимают активное участие в этой работе.</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 </w:t>
      </w:r>
    </w:p>
    <w:p w:rsidR="00000000" w:rsidDel="00000000" w:rsidP="00000000" w:rsidRDefault="00000000" w:rsidRPr="00000000" w14:paraId="00000028">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MlT5fN5khKK1TDseB7p57TF0w==">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2024-05-16T06:07:00Z</dcterms:created>
  <dc:creator>b v</dc:creator>
</cp:coreProperties>
</file>