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форуме «Открытые инновации» представители Росатома приняли участие в обсуждении развития направления «Технологии новых материалов и веществ»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Был поднят ряд важнейших вопросов в области обеспечения потребности российской промышленности в современных материалах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10 апреля на Московском международном форуме инновационного развития «Открытые инновации», прошедшем в Технопарке «Сколково», представители Госкорпорации «Росатом» приняли участие в круглом столе «Новые материалы. Импортозамещающие технологии».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Мероприятие объединило представителей федеральных органов исполнительной власти, Госкорпорации «Росатом», ведущих российских вузов, институтов развития, Центров компетенций Национальной технологической инициативы и новых бизнесов. Модератором круглого стола выступил руководитель комитета экспертного совета для проведения научно-технической экспертизы (НТЭ) по высокотехнологичному направлению (ВТН) «Технологии новых материалов и веществ» Алексей Дуб.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мероприятия обсудили результаты реализации Соглашения по развитию высокотехнологичного направления «Технологии новых материалов и веществ». Они затронули ряд важнейших вопросов в области развития материаловедения, обеспечения потребности российской промышленности в современных материалах, мер государственной поддержки и стимулирования спроса, подготовки кадров, а также создания комфортной регуляторной среды для ведения разработок и их внедрения.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Как отметил директор по технологическому развитию Госкорпорации «Росатом» Андрей Шевченко, в период с 2019 по 2023 год в рамках реализации дорожной карты «Технологии новых материалов и веществ» были достигнуты значимые результаты. «Благодаря открытию в 2021 году производства ПАН-прекурсора Росатом за три года </w:t>
      </w:r>
      <w:r w:rsidDel="00000000" w:rsidR="00000000" w:rsidRPr="00000000">
        <w:rPr>
          <w:rtl w:val="0"/>
        </w:rPr>
        <w:t xml:space="preserve">локализировал</w:t>
      </w:r>
      <w:r w:rsidDel="00000000" w:rsidR="00000000" w:rsidRPr="00000000">
        <w:rPr>
          <w:rtl w:val="0"/>
        </w:rPr>
        <w:t xml:space="preserve"> единственную в СНГ и Восточной Европе полную технологическую цепочку по </w:t>
      </w:r>
      <w:r w:rsidDel="00000000" w:rsidR="00000000" w:rsidRPr="00000000">
        <w:rPr>
          <w:rtl w:val="0"/>
        </w:rPr>
        <w:t xml:space="preserve">углепластикам</w:t>
      </w:r>
      <w:r w:rsidDel="00000000" w:rsidR="00000000" w:rsidRPr="00000000">
        <w:rPr>
          <w:rtl w:val="0"/>
        </w:rPr>
        <w:t xml:space="preserve">: от сырой нефти до высокотехнологичных изделий. Создан первый серийный отечественный 3D-принтер. Ведутся работы по масштабированию производства. Для обеспечения потребностей малого и среднего бизнеса в регионах открываются Центры аддитивных технологий общего доступа. В 2023 году в контур Росатома включен единственный в России производственный комплекс по производству редких и редкоземельных металлов, состоящий из Ловозерского ГОКа и Соликамского магниевого завода, который при увеличении мощности с 2028 года в 1,5 раза обеспечит сырьем и необходимыми материалами российские производства высокотехнологичной продукции. Для фокусировки усилий на создании производств конкретных линеек продукции в настоящее время Госкорпорацией „Росатом“ совместно с Минпромторгом России ведется работа по включению мероприятий дорожной карты в состав национального проекта технологического суверенитета „Развитие производства новых материалов и химической продукции“», — подчеркнул он.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Очевидно, что для эффективной реализации масштабных задач, которые поставлены в дорожной карте, поддержка государства является одним из необходимых условий. По словам заместителя директора Департамента металлургии и материалов Минпромторга России Константина Федорова, в Российской Федерации действует большое количество различных мер государственной поддержки для реализации проектов технологического развития. Это субсидии на выполнение научно-исследовательских и опытно-конструкторских работ, льготные займы Фонда развития промышленности — в настоящее время до 1 млрд руб. по ставке 3% годовых, кластерная инвестиционная платформа от 2 до 100 млрд руб. по льготным ставкам для запуска приоритетных промышленных проектов, как на капитальное строительство, так и на закупку оборудования. «Минпромторг России уделяет особое внимание направлению „Технологии новых материалов и веществ“ и готов вести диалог по выработке согласованных позиций в части формирования новых специальных мер поддержки», — отметил он.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Для создания новых материалов и веществ нельзя идти вперед без понимания перспектив и планов химической промышленности. В ходе мероприятия отмечено четыре основные проблемы в области отечественной химической промышленности: длительный срок разработки новых материалов и веществ для малотоннажной химии, отсутствие исходных компонентов и реагентов для создания продукции, недостаточность в подготовке инженерных кадров, а также утерянные компетенции в области химического машиностроения. По словам проректора по экономике и инновациям РХТУ им. Д. И. Менделеева Дмитрия Сахарова, для понимания, какие потребуются материалы и вещества в перспективе, а также решения проблем в химической промышленности вузам и научно-исследовательским организациям, частным компаниям требуется на раннем этапе встраиваться в программы и тематические планы крупных индустриальных партнеров и госкорпораций. Для снижения себестоимости и повышения конкурентоспособности химической продукции он рекомендовал использовать микрофлюидные технологии, а также создавать в стране передовые инженерные школы для подготовки высококлассных специалистов, которые в свою очередь будут создавать в том числе отечественное оборудование.  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2022 году в состав дорожной карты «Технологии новых материалов и веществ» вошло новое направление — «Перспективные материалы и цифровое материаловедение». Как отметил руководитель проектов </w:t>
      </w:r>
      <w:r w:rsidDel="00000000" w:rsidR="00000000" w:rsidRPr="00000000">
        <w:rPr>
          <w:rtl w:val="0"/>
        </w:rPr>
        <w:t xml:space="preserve">Центра превосходства</w:t>
      </w:r>
      <w:r w:rsidDel="00000000" w:rsidR="00000000" w:rsidRPr="00000000">
        <w:rPr>
          <w:rtl w:val="0"/>
        </w:rPr>
        <w:t xml:space="preserve"> «Цифровое материаловедение» МГТУ им. Н. Э. Баумана Леван Татунашвили, цифровые технологии в области материаловедения направлены на существенное </w:t>
      </w:r>
      <w:r w:rsidDel="00000000" w:rsidR="00000000" w:rsidRPr="00000000">
        <w:rPr>
          <w:rtl w:val="0"/>
        </w:rPr>
        <w:t xml:space="preserve">понижение</w:t>
      </w:r>
      <w:r w:rsidDel="00000000" w:rsidR="00000000" w:rsidRPr="00000000">
        <w:rPr>
          <w:rtl w:val="0"/>
        </w:rPr>
        <w:t xml:space="preserve"> барьеров разработки новых материалов с заданными свойствами и их внедрения в различных отраслях производства. Развитие и распространение цифровых методов моделирования материалов и изделий и создание общих баз данных с характеристиками материалов — основное условие вовлечения в процесс большого количества разработчиков, включая малые частные коммерческие компании. «Проблема с максимальным внедрением новых материалов в индустрию — это не только российская проблема, это общемировая проблема. Задача для всех одна — кратно сократить сроки создания и внедрения материалов», — отметил он.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Основополагающим документом развития аддитивных технологий в Российской Федерации является «Стратегия развития аддитивных технологий», которая предполагает к 2030 году достижение выручки до 13,5 млрд руб. на общем рынке. Реализация дорожной карты «Технологии новых материалов и веществ» в части поднаправления «Аддитивные технологии», в том числе реализация Комплексной научно-технической программы полного инновационного цикла «Аддитивные технологии. Новые материалы и технологические процессы» позволит увеличить </w:t>
      </w:r>
      <w:r w:rsidDel="00000000" w:rsidR="00000000" w:rsidRPr="00000000">
        <w:rPr>
          <w:rtl w:val="0"/>
        </w:rPr>
        <w:t xml:space="preserve">рынок</w:t>
      </w:r>
      <w:r w:rsidDel="00000000" w:rsidR="00000000" w:rsidRPr="00000000">
        <w:rPr>
          <w:rtl w:val="0"/>
        </w:rPr>
        <w:t xml:space="preserve"> до 23,5 млрд руб. «Серьезным толчком в развитии аддитивных технологий в России стал уход ключевых западных игроков с рынка аддитивных технологий. Госкорпорация „Росатом“ как лидер по направлению аддитивных технологий создала полную производственную цепочку, включая изготовление отечественных 3D-принтеров, разработку программного обеспечения, производство металлических порошков, проволоки и предоставление услуг 3D-печати.  При этом целевое значение по объему рынка к 2030 году составляет 23,5 млрд руб. Но уже сегодня можно сказать, что рынок развивается с опережением инновационного сценария, и, по нашей оценке, превышает 8 млрд рублей», — подчеркнула исполнительный директор Ассоциации развития аддитивных технологий Ольга Оспенникова.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«В заключение нашего обсуждения хочу сделать вывод о том, что для достижения лидерства в области технологий новых материалов и веществ у нас в стране должны появляться так называемые синтетические специальности, которые подразумевают пересечение компетенций конструктора, материаловеда и специалиста в области цифровых технологий», — подвел итог мероприятия руководитель комитета экспертного совета для проведения НТЭ по ВТН </w:t>
      </w:r>
      <w:r w:rsidDel="00000000" w:rsidR="00000000" w:rsidRPr="00000000">
        <w:rPr>
          <w:rtl w:val="0"/>
        </w:rPr>
        <w:t xml:space="preserve">«Технологии новых материалов и веществ»</w:t>
      </w:r>
      <w:r w:rsidDel="00000000" w:rsidR="00000000" w:rsidRPr="00000000">
        <w:rPr>
          <w:rtl w:val="0"/>
        </w:rPr>
        <w:t xml:space="preserve"> Алексей Дуб.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Московский международный форум инновационного развития «Открытые инновации» ежегодно проходит с 2012 года под эгидой Правительства Российской Федерации. Миссия форума — быть открытой площадкой обсуждения вопросов технологического лидерства и суверенитета, подготовки кадров и развития компетенций, создания условий для запуска крупных промышленных проектов, а также цифровизации страны с целью повышения качества жизни в России. Форум объединяет руководителей государственных структур, крупнейших вендоров и компаний, общественных организаций и международных экспертов. Главная тема форума «Открытые инновации» в 2024 году — реализация дорожных карт по ключевым высокотехнологичным направлениям. Госкорпорация «Росатом» выступила генеральным партнером форума.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выступает партнером государства в реализации проектов развития по ряду наукоемких направлений, с которыми связаны перспективы развития отечественной экономики, а также обеспечение устойчивых научно-технических позиций страны в будущем. В рамках исполнения правительственных дорожных карт востребован собственный опыт и достижения атомной отрасли, а также возможности Росатома по формированию альянсов из числа государственных компаний и широкого круга участников рынка, которые направляют усилия на ускоренную работу по развитию отечественных высоких технологий.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VPO334vprdW9yR6domDSh6IMog==">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2024-04-12T12:00:00Z</dcterms:created>
  <dc:creator>b v</dc:creator>
</cp:coreProperties>
</file>