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02" w:rsidRDefault="00507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507802">
        <w:tc>
          <w:tcPr>
            <w:tcW w:w="1518" w:type="dxa"/>
          </w:tcPr>
          <w:p w:rsidR="00507802" w:rsidRDefault="00896971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507802" w:rsidRDefault="00896971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507802" w:rsidRDefault="00896971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507802" w:rsidRDefault="00896971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:rsidR="00507802" w:rsidRDefault="00896971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21.03.24</w:t>
            </w:r>
          </w:p>
        </w:tc>
      </w:tr>
    </w:tbl>
    <w:p w:rsidR="00507802" w:rsidRDefault="008969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802" w:rsidRDefault="0089697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Экологические решения. Обращение с опасными отходами</w:t>
      </w:r>
    </w:p>
    <w:p w:rsidR="00507802" w:rsidRDefault="00507802">
      <w:pPr>
        <w:spacing w:line="276" w:lineRule="auto"/>
        <w:jc w:val="center"/>
        <w:rPr>
          <w:b/>
          <w:sz w:val="28"/>
          <w:szCs w:val="28"/>
        </w:rPr>
      </w:pPr>
    </w:p>
    <w:p w:rsidR="00507802" w:rsidRDefault="00896971">
      <w:pPr>
        <w:spacing w:line="276" w:lineRule="auto"/>
        <w:rPr>
          <w:b/>
        </w:rPr>
      </w:pPr>
      <w:r>
        <w:rPr>
          <w:b/>
        </w:rPr>
        <w:t>Создание инфраструктуры для обращения с отходами I–II классов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</w:pP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является одним из ключевых участников национального проекта «Экология» и работает сразу в двух направлениях — занимается созданием инфраструктуры для обращения с отходами I и II классов и ликвидацией объектов накопленного вреда окру</w:t>
      </w:r>
      <w:r>
        <w:t>жающей среде.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</w:pPr>
      <w:r>
        <w:t xml:space="preserve">В 2018 году был утвержден федеральный проект «Инфраструктура для обращения с отходами I–II классов опасности», и с 2019 года </w:t>
      </w:r>
      <w:proofErr w:type="spellStart"/>
      <w:r>
        <w:t>Росатом</w:t>
      </w:r>
      <w:proofErr w:type="spellEnd"/>
      <w:r>
        <w:t xml:space="preserve"> приступил к его реализации. Этот проект в полной мере отвечает стратегии развития </w:t>
      </w:r>
      <w:proofErr w:type="spellStart"/>
      <w:r>
        <w:t>Госкорпорации</w:t>
      </w:r>
      <w:proofErr w:type="spellEnd"/>
      <w:r>
        <w:t xml:space="preserve"> и согласуетс</w:t>
      </w:r>
      <w:r>
        <w:t xml:space="preserve">я с целями устойчивого развития ООН. 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</w:pPr>
      <w:r>
        <w:t xml:space="preserve">ФГУП «ФЭО» (предприятие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определено федеральным оператором по обращению с отходами I и II классов опасности на территории Российской Федерации. Цель — создать комплексную безопасную систему упр</w:t>
      </w:r>
      <w:r>
        <w:t>авления всей цепочкой отходов, от образования до переработки во вторичную продукцию.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  <w:rPr>
          <w:i/>
        </w:rPr>
      </w:pPr>
      <w:r>
        <w:rPr>
          <w:i/>
        </w:rPr>
        <w:t xml:space="preserve">С 1 марта 2022 года </w:t>
      </w:r>
      <w:proofErr w:type="spellStart"/>
      <w:r>
        <w:rPr>
          <w:i/>
        </w:rPr>
        <w:t>отходообразователи</w:t>
      </w:r>
      <w:proofErr w:type="spellEnd"/>
      <w:r>
        <w:rPr>
          <w:i/>
        </w:rPr>
        <w:t>, которые не имеют собственных мощностей по обращению с отходами I и II классов, обязаны передавать такие отходы федеральному операт</w:t>
      </w:r>
      <w:r>
        <w:rPr>
          <w:i/>
        </w:rPr>
        <w:t>ору по договору.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</w:pPr>
      <w:r>
        <w:t>В свою очередь федеральный оператор или самостоятельно, или с привлечением частных операторов обеспечивает их транспортирование, обработку, обезвреживание, утилизацию и безопасное размещение. Таким образом, действующие предприятия, которы</w:t>
      </w:r>
      <w:r>
        <w:t xml:space="preserve">е сегодня перерабатывают или транспортируют отходы, продолжают свою работу. 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</w:pPr>
      <w:r>
        <w:t>В федеральном классификационном каталоге отходов насчитывается более 480 видов отходов I и II классов.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</w:pPr>
      <w:r>
        <w:t>I класс:</w:t>
      </w:r>
    </w:p>
    <w:p w:rsidR="00507802" w:rsidRDefault="00896971">
      <w:pPr>
        <w:numPr>
          <w:ilvl w:val="0"/>
          <w:numId w:val="2"/>
        </w:numPr>
        <w:spacing w:line="276" w:lineRule="auto"/>
      </w:pPr>
      <w:r>
        <w:t>ртутьсодержащие отходы (лампы, приборы, шламы, шлаки);</w:t>
      </w:r>
    </w:p>
    <w:p w:rsidR="00507802" w:rsidRDefault="00896971">
      <w:pPr>
        <w:numPr>
          <w:ilvl w:val="0"/>
          <w:numId w:val="2"/>
        </w:numPr>
        <w:spacing w:line="276" w:lineRule="auto"/>
      </w:pPr>
      <w:r>
        <w:t>отходы эле</w:t>
      </w:r>
      <w:r>
        <w:t>ктротехнического оборудования (трансформаторные масла).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</w:pPr>
      <w:r>
        <w:t>II класс:</w:t>
      </w:r>
    </w:p>
    <w:p w:rsidR="00507802" w:rsidRDefault="00896971">
      <w:pPr>
        <w:numPr>
          <w:ilvl w:val="0"/>
          <w:numId w:val="3"/>
        </w:numPr>
        <w:spacing w:line="276" w:lineRule="auto"/>
      </w:pPr>
      <w:proofErr w:type="spellStart"/>
      <w:r>
        <w:t>свинецсодержащие</w:t>
      </w:r>
      <w:proofErr w:type="spellEnd"/>
      <w:r>
        <w:t xml:space="preserve"> отходы (свинцово-кислотные аккумуляторы, отходы электрического кабеля);</w:t>
      </w:r>
    </w:p>
    <w:p w:rsidR="00507802" w:rsidRDefault="00896971">
      <w:pPr>
        <w:numPr>
          <w:ilvl w:val="0"/>
          <w:numId w:val="3"/>
        </w:numPr>
        <w:spacing w:line="276" w:lineRule="auto"/>
      </w:pPr>
      <w:r>
        <w:t>отходы химических источников тока (батарейки, аккумуляторы);</w:t>
      </w:r>
    </w:p>
    <w:p w:rsidR="00507802" w:rsidRDefault="00896971">
      <w:pPr>
        <w:numPr>
          <w:ilvl w:val="0"/>
          <w:numId w:val="3"/>
        </w:numPr>
        <w:spacing w:line="276" w:lineRule="auto"/>
      </w:pPr>
      <w:r>
        <w:t>органические горючие отходы (отходы хим</w:t>
      </w:r>
      <w:r>
        <w:t>ического и нефтехимического производства) и др.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</w:pPr>
      <w:r>
        <w:t xml:space="preserve">Одновременно ФГУП «ФЭО» создает инфраструктуру для обращения с отходами I и II классов с учетом международного опыта, появления новых технологий и разработок в сфере </w:t>
      </w:r>
      <w:proofErr w:type="spellStart"/>
      <w:r>
        <w:t>рециклинга</w:t>
      </w:r>
      <w:proofErr w:type="spellEnd"/>
      <w:r>
        <w:t xml:space="preserve"> промышленных отходов. Это сеть</w:t>
      </w:r>
      <w:r>
        <w:t xml:space="preserve"> </w:t>
      </w:r>
      <w:proofErr w:type="spellStart"/>
      <w:r>
        <w:t>экотехнопарков</w:t>
      </w:r>
      <w:proofErr w:type="spellEnd"/>
      <w:r>
        <w:t xml:space="preserve">, отвечающих принципам наилучших доступных технологий и наилучших экологических практик. 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</w:pPr>
      <w:r>
        <w:t xml:space="preserve">Технологические процессы на производственных комплексах представляют замкнутый цикл производства, который базируется на принципах безопасности, </w:t>
      </w:r>
      <w:proofErr w:type="spellStart"/>
      <w:r>
        <w:t>эколог</w:t>
      </w:r>
      <w:r>
        <w:t>ичности</w:t>
      </w:r>
      <w:proofErr w:type="spellEnd"/>
      <w:r>
        <w:t>, эффективности и ресурсосбережения. Новые производства оснащаются передовыми технологиями в сфере обезвреживания и утилизации отходов и многоступенчатыми системами безопасности.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</w:pPr>
      <w:r>
        <w:t>Создаваемая инфраструктура обеспечит переработку промышленных отходов и вовлечение их полезных компонентов в хозяйственный оборот.</w:t>
      </w:r>
    </w:p>
    <w:p w:rsidR="00507802" w:rsidRDefault="00507802">
      <w:pPr>
        <w:spacing w:line="276" w:lineRule="auto"/>
        <w:rPr>
          <w:b/>
          <w:i/>
        </w:rPr>
      </w:pPr>
    </w:p>
    <w:p w:rsidR="00507802" w:rsidRDefault="00896971">
      <w:pPr>
        <w:spacing w:line="276" w:lineRule="auto"/>
      </w:pPr>
      <w:r>
        <w:rPr>
          <w:b/>
        </w:rPr>
        <w:t>Создание информационной системы учета и контроля за обращением с отходами I и II классов</w:t>
      </w:r>
      <w:r>
        <w:t xml:space="preserve"> 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</w:pPr>
      <w:r>
        <w:t>В рамках федерального проекта ФГУП «ФЭО» разработало федеральную государственную информационную систему учета и контроля за обращением с отходами I и II классов опасности (ФГИС ОПВК). В декабре 2021 года система была введена в эксплуатацию.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</w:pPr>
      <w:r>
        <w:t>Цифровая платф</w:t>
      </w:r>
      <w:r>
        <w:t>орма ФГИС ОПВК проектировалась, в первую очередь, для обеспечения работы с отходами I и II классов в формате «единого окна». Система обеспечила для всех участников рынка прозрачную и понятную систему взаимоотношений, позволила подавать заявки на вывоз отхо</w:t>
      </w:r>
      <w:r>
        <w:t xml:space="preserve">дов в режиме реального времени, а также оперативно обмениваться электронными документами. 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</w:pPr>
      <w:r>
        <w:t>ФГИС ОПВК помогает:</w:t>
      </w:r>
    </w:p>
    <w:p w:rsidR="00507802" w:rsidRDefault="00896971">
      <w:pPr>
        <w:numPr>
          <w:ilvl w:val="0"/>
          <w:numId w:val="4"/>
        </w:numPr>
        <w:spacing w:line="276" w:lineRule="auto"/>
      </w:pPr>
      <w:r>
        <w:t>обеспечить надлежащий учет и контроль за обращением с отходами I и II классов на всем жизненном цикле;</w:t>
      </w:r>
    </w:p>
    <w:p w:rsidR="00507802" w:rsidRDefault="00896971">
      <w:pPr>
        <w:numPr>
          <w:ilvl w:val="0"/>
          <w:numId w:val="4"/>
        </w:numPr>
        <w:spacing w:line="276" w:lineRule="auto"/>
      </w:pPr>
      <w:r>
        <w:t>сформировать сведения о фактическом колич</w:t>
      </w:r>
      <w:r>
        <w:t>естве образующихся отходов I и II классов и обращении с ними;</w:t>
      </w:r>
    </w:p>
    <w:p w:rsidR="00507802" w:rsidRDefault="00896971">
      <w:pPr>
        <w:numPr>
          <w:ilvl w:val="0"/>
          <w:numId w:val="4"/>
        </w:numPr>
        <w:spacing w:line="276" w:lineRule="auto"/>
      </w:pPr>
      <w:r>
        <w:lastRenderedPageBreak/>
        <w:t>сформировать сведения о местах нахождения объектов по переработке отходов I и II классов и их технических характеристиках;</w:t>
      </w:r>
    </w:p>
    <w:p w:rsidR="00507802" w:rsidRDefault="00896971">
      <w:pPr>
        <w:numPr>
          <w:ilvl w:val="0"/>
          <w:numId w:val="4"/>
        </w:numPr>
        <w:spacing w:line="276" w:lineRule="auto"/>
      </w:pPr>
      <w:r>
        <w:t>оптимально и безопасно для окружающей среды организовать деятельность п</w:t>
      </w:r>
      <w:r>
        <w:t>о обращению с отходами I и II классов на существующих мощностях;</w:t>
      </w:r>
    </w:p>
    <w:p w:rsidR="00507802" w:rsidRDefault="00896971">
      <w:pPr>
        <w:numPr>
          <w:ilvl w:val="0"/>
          <w:numId w:val="4"/>
        </w:numPr>
        <w:spacing w:line="276" w:lineRule="auto"/>
      </w:pPr>
      <w:r>
        <w:t xml:space="preserve">обмениваться данными с </w:t>
      </w:r>
      <w:proofErr w:type="spellStart"/>
      <w:r>
        <w:t>Росприроднадзором</w:t>
      </w:r>
      <w:proofErr w:type="spellEnd"/>
      <w:r>
        <w:t xml:space="preserve"> для предупреждения и снижения количества правонарушений в сфере охраны окружающей среды;</w:t>
      </w:r>
    </w:p>
    <w:p w:rsidR="00507802" w:rsidRDefault="00896971">
      <w:pPr>
        <w:numPr>
          <w:ilvl w:val="0"/>
          <w:numId w:val="4"/>
        </w:numPr>
        <w:spacing w:line="276" w:lineRule="auto"/>
      </w:pPr>
      <w:r>
        <w:t>поддерживать в электронном виде актуальную на любой момент вр</w:t>
      </w:r>
      <w:r>
        <w:t>емени федеральную схему обращения с отходами I и II классов;</w:t>
      </w:r>
    </w:p>
    <w:p w:rsidR="00507802" w:rsidRDefault="00896971">
      <w:pPr>
        <w:numPr>
          <w:ilvl w:val="0"/>
          <w:numId w:val="4"/>
        </w:numPr>
        <w:spacing w:line="276" w:lineRule="auto"/>
      </w:pPr>
      <w:r>
        <w:t>обеспечить развитие рынка переработки отходов и переход к экономике замкнутого цикла.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  <w:rPr>
          <w:i/>
        </w:rPr>
      </w:pPr>
      <w:r>
        <w:rPr>
          <w:i/>
        </w:rPr>
        <w:t xml:space="preserve">С 1 марта 2022 года во ФГИС ОПВК необходимо регистрироваться всем </w:t>
      </w:r>
      <w:proofErr w:type="spellStart"/>
      <w:r>
        <w:rPr>
          <w:i/>
        </w:rPr>
        <w:t>отходообразователям</w:t>
      </w:r>
      <w:proofErr w:type="spellEnd"/>
      <w:r>
        <w:rPr>
          <w:i/>
        </w:rPr>
        <w:t>, независимо от того, и</w:t>
      </w:r>
      <w:r>
        <w:rPr>
          <w:i/>
        </w:rPr>
        <w:t>меют ли они в собственности или на ином законном основании объекты по обращению с опасными отходами или нет. Регистрация также необходима для всех компаний, которые занимаются транспортированием отходов I и II классов, и операторов по обращению с данными о</w:t>
      </w:r>
      <w:r>
        <w:rPr>
          <w:i/>
        </w:rPr>
        <w:t>тходами.</w:t>
      </w:r>
    </w:p>
    <w:p w:rsidR="00507802" w:rsidRDefault="00507802">
      <w:pPr>
        <w:spacing w:line="276" w:lineRule="auto"/>
        <w:rPr>
          <w:b/>
        </w:rPr>
      </w:pPr>
    </w:p>
    <w:p w:rsidR="00507802" w:rsidRDefault="00896971">
      <w:pPr>
        <w:spacing w:line="276" w:lineRule="auto"/>
      </w:pPr>
      <w:r>
        <w:rPr>
          <w:b/>
        </w:rPr>
        <w:t xml:space="preserve">На конец 2023 года более 90 тыс. пользователей со всей России зарегистрировались в системе. </w:t>
      </w:r>
      <w:r>
        <w:t xml:space="preserve">Это более 50 тыс. юридических лиц, из которых </w:t>
      </w:r>
      <w:proofErr w:type="spellStart"/>
      <w:r>
        <w:t>отходообразователей</w:t>
      </w:r>
      <w:proofErr w:type="spellEnd"/>
      <w:r>
        <w:t xml:space="preserve"> — около 47 тыс. Остальные — транспортировщики отходов и операторы по их переработке. Так</w:t>
      </w:r>
      <w:r>
        <w:t xml:space="preserve">им образом, порядка 83% рынка обращения с отходами I и II классов уже работает в новой системе. 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</w:pPr>
      <w:r>
        <w:t>В настоящее время среди операторов по обезвреживанию и утилизации отходов 70% занимаются обезвреживанием отходов и чуть больше 30% — утилизацией. Введение в э</w:t>
      </w:r>
      <w:r>
        <w:t xml:space="preserve">ксплуатацию </w:t>
      </w:r>
      <w:proofErr w:type="spellStart"/>
      <w:r>
        <w:t>экотехнопарков</w:t>
      </w:r>
      <w:proofErr w:type="spellEnd"/>
      <w:r>
        <w:t xml:space="preserve"> по переработке опасных отходов позволит кардинально перевернуть эту пропорцию в сторону утилизации отходов с извлечением полезных компонентов и возвращением их во вторичный хозяйственный оборот в соответствии с логикой экономики </w:t>
      </w:r>
      <w:r>
        <w:t xml:space="preserve">замкнутого цикла. </w:t>
      </w:r>
    </w:p>
    <w:p w:rsidR="00507802" w:rsidRDefault="00507802">
      <w:pPr>
        <w:spacing w:line="276" w:lineRule="auto"/>
        <w:rPr>
          <w:b/>
          <w:i/>
        </w:rPr>
      </w:pPr>
    </w:p>
    <w:p w:rsidR="00507802" w:rsidRDefault="00896971">
      <w:pPr>
        <w:spacing w:line="276" w:lineRule="auto"/>
      </w:pPr>
      <w:r>
        <w:rPr>
          <w:b/>
        </w:rPr>
        <w:t>Ликвидация накопленного вреда окружающей среде (промышленное наследие)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</w:pPr>
      <w:r>
        <w:t xml:space="preserve">Благодаря </w:t>
      </w:r>
      <w:proofErr w:type="spellStart"/>
      <w:r>
        <w:t>Росатому</w:t>
      </w:r>
      <w:proofErr w:type="spellEnd"/>
      <w:r>
        <w:t xml:space="preserve"> и нацпроекту «Экология» в результате ликвидации накопленного вреда окружающей среде в хозяйственный оборот вернется порядка 1700 га земли. В соот</w:t>
      </w:r>
      <w:r>
        <w:t xml:space="preserve">ветствии с решениями Правительства РФ </w:t>
      </w:r>
      <w:proofErr w:type="spellStart"/>
      <w:r>
        <w:t>Росатом</w:t>
      </w:r>
      <w:proofErr w:type="spellEnd"/>
      <w:r>
        <w:t xml:space="preserve"> ведет работу по приведению в безопасное состояние наиболее опасных объектов накопленного вреда в Иркутской, Челябинской и Ленинградской области. Цель — снизить экологические риски, улучшить качество жизни милли</w:t>
      </w:r>
      <w:r>
        <w:t>онов человек.</w:t>
      </w:r>
    </w:p>
    <w:p w:rsidR="00507802" w:rsidRDefault="00507802">
      <w:pPr>
        <w:spacing w:line="276" w:lineRule="auto"/>
      </w:pPr>
    </w:p>
    <w:p w:rsidR="00507802" w:rsidRDefault="00896971">
      <w:pPr>
        <w:spacing w:line="276" w:lineRule="auto"/>
        <w:rPr>
          <w:i/>
        </w:rPr>
      </w:pPr>
      <w:r>
        <w:rPr>
          <w:i/>
        </w:rPr>
        <w:t>Успешный опыт в ликвидации объектов накопленного экологического вреда позволяет проецировать применяемые решения на объекты из других стран. Учитывая единый подход к проектированию химических производств в советское время, можно использовать</w:t>
      </w:r>
      <w:r>
        <w:rPr>
          <w:i/>
        </w:rPr>
        <w:t xml:space="preserve"> </w:t>
      </w:r>
      <w:r>
        <w:rPr>
          <w:i/>
        </w:rPr>
        <w:lastRenderedPageBreak/>
        <w:t>апробированные на территории России подходы к приведению в безопасное состояние бывших химических производств на территориях стран СНГ.</w:t>
      </w:r>
    </w:p>
    <w:p w:rsidR="00507802" w:rsidRDefault="00507802">
      <w:pPr>
        <w:spacing w:line="276" w:lineRule="auto"/>
        <w:rPr>
          <w:b/>
          <w:i/>
        </w:rPr>
      </w:pPr>
    </w:p>
    <w:p w:rsidR="00507802" w:rsidRDefault="00896971">
      <w:pPr>
        <w:spacing w:line="276" w:lineRule="auto"/>
      </w:pPr>
      <w:r>
        <w:rPr>
          <w:b/>
        </w:rPr>
        <w:t>2023 год</w:t>
      </w:r>
    </w:p>
    <w:p w:rsidR="00507802" w:rsidRDefault="00896971">
      <w:pPr>
        <w:numPr>
          <w:ilvl w:val="0"/>
          <w:numId w:val="1"/>
        </w:numPr>
        <w:spacing w:line="276" w:lineRule="auto"/>
      </w:pPr>
      <w:r>
        <w:t xml:space="preserve">Разработана </w:t>
      </w:r>
      <w:r>
        <w:rPr>
          <w:b/>
        </w:rPr>
        <w:t>Концепция сотрудничества государств</w:t>
      </w:r>
      <w:r>
        <w:t xml:space="preserve"> — участников СНГ в области обращения с опасными отходами и ликвидации объектов накопленного вреда окружающей среде и План первоочередных мероприятий на 2024–2029 годы по ее реализации. Концепция была одобрена и согласована на IX заседании Совета по промыш</w:t>
      </w:r>
      <w:r>
        <w:t xml:space="preserve">ленной политике государств — участников СНГ (29.09.2023, г. Бишкек, </w:t>
      </w:r>
      <w:proofErr w:type="spellStart"/>
      <w:r>
        <w:t>Кыргызская</w:t>
      </w:r>
      <w:proofErr w:type="spellEnd"/>
      <w:r>
        <w:t xml:space="preserve"> Республика), Комиссией по экономическим вопросам при Экономическом совете СНГ (20.12.2023, г. Москва) и на XXIV заседании Комиссии государств — участников СНГ по использованию а</w:t>
      </w:r>
      <w:r>
        <w:t>томной энергии в мирных целях (29.11.2023, г. Минск, Республика Беларусь) и направлена в Исполнительный комитет государств — участников СНГ в целях его дальнейшего рассмотрения в установленном порядке до 29 марта 2024 года. Подписание Концепции главами гос</w:t>
      </w:r>
      <w:r>
        <w:t xml:space="preserve">ударств — участников СНГ и начало реализации запланированы на май 2024 года. В рамках Концепции базовой организацией будет определено ФГУП «ФЭО» (предприятие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»). В качестве базовой организации стран Содружества ФГУП «ФЭО» будет осущес</w:t>
      </w:r>
      <w:r>
        <w:t xml:space="preserve">твлять работу по нескольким направлениям: создание информационных и статистических баз, справочников наилучших доступных технологий, проведение совместных научных исследований, разработка систем мониторинга, внедрение стандартов безопасности, </w:t>
      </w:r>
      <w:proofErr w:type="spellStart"/>
      <w:r>
        <w:t>цифровизация</w:t>
      </w:r>
      <w:proofErr w:type="spellEnd"/>
      <w:r>
        <w:t xml:space="preserve"> </w:t>
      </w:r>
      <w:r>
        <w:t>производственных процессов, проектирование и строительство современных объектов промышленной инфраструктуры, профессиональная подготовка и независимая оценка кадров.</w:t>
      </w:r>
    </w:p>
    <w:p w:rsidR="00507802" w:rsidRDefault="00507802">
      <w:pPr>
        <w:spacing w:line="276" w:lineRule="auto"/>
      </w:pPr>
    </w:p>
    <w:p w:rsidR="00507802" w:rsidRDefault="00896971">
      <w:pPr>
        <w:numPr>
          <w:ilvl w:val="0"/>
          <w:numId w:val="1"/>
        </w:numPr>
        <w:spacing w:line="276" w:lineRule="auto"/>
        <w:rPr>
          <w:b/>
        </w:rPr>
      </w:pPr>
      <w:r>
        <w:t>На международной конференции «Роль атомной энергетики в достижении целей устойчивого разв</w:t>
      </w:r>
      <w:r>
        <w:t xml:space="preserve">ития» (17.10.2023, г. Минск, Республика Беларусь) </w:t>
      </w:r>
      <w:hyperlink r:id="rId10">
        <w:r>
          <w:rPr>
            <w:color w:val="1155CC"/>
            <w:u w:val="single"/>
          </w:rPr>
          <w:t xml:space="preserve">подписан </w:t>
        </w:r>
      </w:hyperlink>
      <w:hyperlink r:id="rId11">
        <w:r>
          <w:rPr>
            <w:b/>
            <w:color w:val="1155CC"/>
            <w:u w:val="single"/>
          </w:rPr>
          <w:t>Меморандум</w:t>
        </w:r>
      </w:hyperlink>
      <w:r>
        <w:rPr>
          <w:b/>
        </w:rPr>
        <w:t xml:space="preserve"> </w:t>
      </w:r>
      <w:r>
        <w:rPr>
          <w:b/>
        </w:rPr>
        <w:t>«О взаимопонимании между Государственной корпорацией по атомной энергии „</w:t>
      </w:r>
      <w:proofErr w:type="spellStart"/>
      <w:r>
        <w:rPr>
          <w:b/>
        </w:rPr>
        <w:t>Росатом</w:t>
      </w:r>
      <w:proofErr w:type="spellEnd"/>
      <w:r>
        <w:rPr>
          <w:b/>
        </w:rPr>
        <w:t>“ (Российская Федерация) и Министерством природных ресурсов и охраны окружающей среды Республики Беларусь».</w:t>
      </w:r>
    </w:p>
    <w:p w:rsidR="00507802" w:rsidRDefault="00507802">
      <w:pPr>
        <w:spacing w:line="276" w:lineRule="auto"/>
      </w:pPr>
    </w:p>
    <w:p w:rsidR="00507802" w:rsidRPr="003C38AD" w:rsidRDefault="00896971">
      <w:pPr>
        <w:numPr>
          <w:ilvl w:val="0"/>
          <w:numId w:val="1"/>
        </w:numPr>
        <w:spacing w:line="276" w:lineRule="auto"/>
        <w:rPr>
          <w:b/>
        </w:rPr>
      </w:pPr>
      <w:r>
        <w:t xml:space="preserve">В рамках Межгосударственной целевой программы </w:t>
      </w:r>
      <w:r>
        <w:rPr>
          <w:b/>
        </w:rPr>
        <w:t>«Рекультивация террит</w:t>
      </w:r>
      <w:r>
        <w:rPr>
          <w:b/>
        </w:rPr>
        <w:t xml:space="preserve">орий государств, подвергшихся воздействию уранодобывающих производств» </w:t>
      </w:r>
      <w:r>
        <w:t xml:space="preserve">завершены работы по выводу из эксплуатации, консервации и рекультивации </w:t>
      </w:r>
      <w:proofErr w:type="spellStart"/>
      <w:r>
        <w:t>хвостохранилищ</w:t>
      </w:r>
      <w:proofErr w:type="spellEnd"/>
      <w:r>
        <w:t xml:space="preserve"> «</w:t>
      </w:r>
      <w:proofErr w:type="spellStart"/>
      <w:r>
        <w:t>Талды-Булак</w:t>
      </w:r>
      <w:proofErr w:type="spellEnd"/>
      <w:r>
        <w:t>» и «Как», продолжаются — для «Туюк-</w:t>
      </w:r>
      <w:proofErr w:type="spellStart"/>
      <w:r>
        <w:t>Суу</w:t>
      </w:r>
      <w:proofErr w:type="spellEnd"/>
      <w:r>
        <w:t>» и «Дальнее» (</w:t>
      </w:r>
      <w:proofErr w:type="spellStart"/>
      <w:r>
        <w:t>Кыргызская</w:t>
      </w:r>
      <w:proofErr w:type="spellEnd"/>
      <w:r>
        <w:t xml:space="preserve"> Республика).</w:t>
      </w:r>
    </w:p>
    <w:p w:rsidR="003C38AD" w:rsidRDefault="003C38AD" w:rsidP="003C38AD">
      <w:pPr>
        <w:pStyle w:val="ae"/>
        <w:rPr>
          <w:b/>
        </w:rPr>
      </w:pPr>
    </w:p>
    <w:p w:rsidR="003C38AD" w:rsidRPr="003C38AD" w:rsidRDefault="003C38AD" w:rsidP="003C38AD">
      <w:pPr>
        <w:spacing w:line="276" w:lineRule="auto"/>
        <w:ind w:left="360"/>
      </w:pPr>
      <w:bookmarkStart w:id="0" w:name="_GoBack"/>
      <w:r w:rsidRPr="003C38AD"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</w:t>
      </w:r>
      <w:r w:rsidRPr="003C38AD">
        <w:lastRenderedPageBreak/>
        <w:t xml:space="preserve">повышения его международного авторитета. </w:t>
      </w:r>
      <w:proofErr w:type="spellStart"/>
      <w:r w:rsidRPr="003C38AD">
        <w:t>Росатом</w:t>
      </w:r>
      <w:proofErr w:type="spellEnd"/>
      <w:r w:rsidRPr="003C38AD">
        <w:t xml:space="preserve"> и его дивизионы расширяют сотрудничество с предприятиями и организациями стран СНГ.</w:t>
      </w:r>
      <w:bookmarkEnd w:id="0"/>
    </w:p>
    <w:sectPr w:rsidR="003C38AD" w:rsidRPr="003C38AD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71" w:rsidRDefault="00896971">
      <w:r>
        <w:separator/>
      </w:r>
    </w:p>
  </w:endnote>
  <w:endnote w:type="continuationSeparator" w:id="0">
    <w:p w:rsidR="00896971" w:rsidRDefault="0089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02" w:rsidRDefault="005078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507802" w:rsidRDefault="005078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71" w:rsidRDefault="00896971">
      <w:r>
        <w:separator/>
      </w:r>
    </w:p>
  </w:footnote>
  <w:footnote w:type="continuationSeparator" w:id="0">
    <w:p w:rsidR="00896971" w:rsidRDefault="0089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2E0A"/>
    <w:multiLevelType w:val="multilevel"/>
    <w:tmpl w:val="C1FEB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525F7D"/>
    <w:multiLevelType w:val="multilevel"/>
    <w:tmpl w:val="ED380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1C0A6D"/>
    <w:multiLevelType w:val="multilevel"/>
    <w:tmpl w:val="3D94C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11257F"/>
    <w:multiLevelType w:val="multilevel"/>
    <w:tmpl w:val="71F07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3C38AD"/>
    <w:rsid w:val="00507802"/>
    <w:rsid w:val="0089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1076"/>
  <w15:docId w15:val="{C3EC1FDE-A955-4B60-A5A5-6E92B5E8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C3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ommedia.online/2023/10/17/rosatom-i-respublika-belarus-nachin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ommedia.online/2023/10/17/rosatom-i-respublika-belarus-nachi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eKqZ8b4xG1xZ6fPdGf8hsqgIaw==">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2024-04-03T13:57:00Z</dcterms:created>
  <dcterms:modified xsi:type="dcterms:W3CDTF">2024-04-03T13:57:00Z</dcterms:modified>
</cp:coreProperties>
</file>