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обсудили горизонты развития и результаты автоматизации и роботизации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Была подчеркнута важность кооперации между компаниями, отраслями и государствами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на Международном форуме «АТОМЭКСПО-2024» прошла сессия «Безлюдные производства: как автоматизация и роботизация трансформируют глобальный бизнес». Ее организаторами выступили дивизион «Промышленная автоматизация (АСУ ТП) и электротехника» Госкорпорации «Росатом» и АО «Русатом Сервис».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объединило представителей российской и китайской школ автоматизации, федеральных регуляторов, крупных индустриальных компаний, внедряющих промышленную роботизацию производственных линий, и производителей комплексных решений. Модератором выступил вице-президент Фонда «Сколково», директор кластера «Энерготех» Алексей Паршиков.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министра цифрового развития и массовых коммуникаций России Андрей Заренин выразил позицию федерального регулятора, в том числе в части поддержки проектов внедрения искусственного интеллекта в производственные процессы.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Руководитель управляющей компании дивизиона «Промышленная автоматизация (АСУ ТП) и электротехника» Росатома Андрей Бутко в своем выступлении отметил: «В условиях глобальных структурных кризисов автоматизация как средство их компенсации — вопрос поколенческого или даже культурного горизонта. Это значит, что стратегическое планирование должно идти с прицелом минимум на 20 лет вперед. Здесь очень важна кооперация между компаниями, отраслями и государствами на разных уровнях. В том числе в части снижения технологических барьеров, разработки общих стандартов, создания прорывных решений. У крупного бизнеса есть преимущество — возможность формировать видение будущего, задавать направление развития и создавать само это будущее». Он упомянул и концепцию «безлюдной АЭС малой мощности», в которой на основе многолетних наработок Росатома по желанию заказчика может быть реализован принцип максимальной автоматизации объекта использования атомной энергии.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China Techenergy Co. (CTEC) Сунь Юнбинь подчеркнул, что внедрение новейших технологий имеет потенциал масштабно трансформировать высокотехнологичные отраслевые цепочки, а кооперация является необходимостью. «Сейчас мы стараемся повысить эффективность проектирования как объектов, так и систем контроля и управления, это один из основных векторов в Китае, не говоря уже о неустранимых рисках, связанных с безопасностью цепочек поставок. Все это говорит о необходимости сотрудничества. Учитывая опыт сотрудничества с российскими и мировыми партнерами, как руководитель CTEC и CGN Digital Technology я искренне надеюсь, что наше плодотворное сотрудничество будет только расширяться», — сказал он.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Об особенностях глобального развития, предметных внедрениях новейших технологий и развиваемых в Росатоме проектах промышленной роботизации рассказал генеральный директор АО «Русатом Сервис» Евгений Сальков. «Потенциал у рынка робототехники, в особенности с учетом наращивания технологического лидерства в стране, сейчас крайне высок, и синергия ресурсов Росатома и крупных промышленных предприятий России позволит обеспечить мощную конкурентоспособность на мировой арене в ближайшей перспективе»,— отметил он.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Экспертизой по собственным реализованным проектам в области создания безлюдных производственных линий поделились Сергей Черкасов, руководитель направления разработки перспективных систем управления АО «Минерально-химическая компания „Еврохим“», и представители предприятий сектора тяжелого высокоточного машиностроения, для которых вопрос точечной автоматизации является крайне важным с точки зрения обеспечения непрерывности производства.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Закрыло</w:t>
      </w:r>
      <w:r w:rsidDel="00000000" w:rsidR="00000000" w:rsidRPr="00000000">
        <w:rPr>
          <w:rtl w:val="0"/>
        </w:rPr>
        <w:t xml:space="preserve"> сессию выступление генерального директора </w:t>
      </w:r>
      <w:r w:rsidDel="00000000" w:rsidR="00000000" w:rsidRPr="00000000">
        <w:rPr>
          <w:rtl w:val="0"/>
        </w:rPr>
        <w:t xml:space="preserve">АО «Гринатом» (</w:t>
      </w:r>
      <w:r w:rsidDel="00000000" w:rsidR="00000000" w:rsidRPr="00000000">
        <w:rPr>
          <w:rtl w:val="0"/>
        </w:rPr>
        <w:t xml:space="preserve">ИТ-интегратора Госкорпорации «Росатом») Михаила Ермолаева. Он рассказал о реализации элементов концепции «безлюдных офисов» в Росатоме, а также об автоматизации транзакционных процессов с помощью ERP-систем, применении программных роботов на платформе «Атом.РИТА» и пилотировании собственной HCM-системы «Атомкор» на площадке сооружения АЭС «Эль-Дабаа».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Дивизион «АСУ ТП и ЭТО» Госкорпорации «Росатом» объединяет направления «АСУ ТП», «Электротехника», «Ядерное приборостроение». Его деятельность базируется на многолетнем опыте предприятий «Росатома» в разработке автоматизированных систем управления и комплексных инженерных решений в области электротехники.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Сервис»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В настоящий момент компания реализует проекты для 48 энергоблоков АЭС российского дизайна (действующих и строящихся) в 13 зарубежных странах.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— ИТ-интегратор и общий центр обслуживания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«Гринатом» создает современные решения для цифровизации Росатома и является одной из самых динамично развивающихся ИТ-компаний России. «Гринатом» оказывает услуги организациям атомной отрасли, крупнейшим российским предприятиям, федеральным и региональным органам государственной власти в сфере цифровизации функций бухгалтерского и налогового учета, управления персоналом, документооборота, экономики и контроллинга, перехода на отечественные ИТ-технологии. 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BmlS4oWKiQLdFKcgr3rOnTsuA==">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2024-03-28T07:30:00Z</dcterms:created>
  <dc:creator>b v</dc:creator>
</cp:coreProperties>
</file>