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11.03.24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i w:val="1"/>
          <w:sz w:val="28"/>
          <w:szCs w:val="28"/>
        </w:rPr>
      </w:pPr>
      <w:r w:rsidDel="00000000" w:rsidR="00000000" w:rsidRPr="00000000">
        <w:rPr>
          <w:b w:val="1"/>
          <w:sz w:val="28"/>
          <w:szCs w:val="28"/>
          <w:rtl w:val="0"/>
        </w:rPr>
        <w:t xml:space="preserve">Росатом представил российские технологии АСММ на семинаре в Индонезии</w:t>
      </w:r>
      <w:r w:rsidDel="00000000" w:rsidR="00000000" w:rsidRPr="00000000">
        <w:rPr>
          <w:b w:val="1"/>
          <w:i w:val="1"/>
          <w:sz w:val="28"/>
          <w:szCs w:val="28"/>
          <w:rtl w:val="0"/>
        </w:rPr>
        <w:t xml:space="preserve">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Мероприятие было посвящено перспективам внедрения атомной генерации малой мощности в стране</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4–8 марта в Бандунге (Индонезия) прошел семинар, посвященный современным технологиям в области строительства атомных электростанций малой мощности (АСММ). В мероприятии, организованном Бандунгским технологическим институтом и Национальным агентством исследований и инноваций Индонезии, приняли участие эксперты Госкорпорации «Росатом».</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Российские спикеры рассказали участникам семинара об уникальном опыте Росатома в эксплуатации реакторов малой мощности, а также о перспективных технологиях.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«Сегодня индонезийские коллеги рассказали о планах по вводу в эксплуатацию первых атомных энергетических мощностей к 2032 году. Росатом готов сотрудничать со страной в рамках всего спектра нашего энергетического предложения, и мы уверены, что референтные технологии Росатома, в том числе АСММ, могут стать хорошими решением для добавления атомной генерации в энергомикс Индонезии», — сказала Анна Белоконева, представитель Росатома в Индонезии.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семинаре приняли участие более 100 участников из 14 стран: представители МАГАТЭ, стран региона, а также вендоры из Китая, Кореи, США, Европы. Представители госорганов Индонезии представили участникам семинара обновленные планы по развитию в стране атомной энергетики, обусловленные, в частности, растущим потреблением электроэнергии и целями по достижению углеродной нейтральности.</w:t>
      </w:r>
    </w:p>
    <w:p w:rsidR="00000000" w:rsidDel="00000000" w:rsidP="00000000" w:rsidRDefault="00000000" w:rsidRPr="00000000" w14:paraId="00000012">
      <w:pPr>
        <w:spacing w:line="276" w:lineRule="auto"/>
        <w:rPr>
          <w:b w:val="1"/>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АСММ является одним из наиболее перспективных направлений атомной отрасли, все ключевые игроки работают над созданием собственных решений на базе технологий малых модульных реакторов. Госкорпорация «Росатом» обладает референтными технологиями сооружения станций малой мощности как в морском, так и в наземном исполнении. Проекты Росатома в сфере малой мощности предлагают надежный источник электроэнергии с долгосрочным прогнозируемым тарифом для потребителей. Это делает технологии АСММ востребованными для крупных промышленных потребителей, которые ответственно подходят к выбору источников энергоснабжения для своих производств и территорий присутствия. Госкорпорация реализует проект уникальной наземной АСММ в Якутии, ввод в эксплуатацию которой запланирован к 2028 году. Росатом также разрабатывает проекты реакторных установок СВБР-100 и реализует проект микрореактора «Шельф-М».</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Россия активно развивает сотрудничество с дружественными государствами.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Продолжается реализация крупных зарубежных энергетических проектов. Росатом и его дивизионы принимают активное участие в этой работе.</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 </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bDwNsb8J8XZW6E3ExivAlx940g==">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2024-03-11T12:07:00Z</dcterms:created>
  <dc:creator>b v</dc:creator>
</cp:coreProperties>
</file>