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29.02.24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АО «Русатом Инфраструктурные решения» в Озерске помогает восстановить параметры теплоснабжения в домах</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В первую очередь сотрудники компании проверяют работу запорно-регулирующей арматуры в системе горячего водоснабжения</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Специалисты Озерского филиала АО «Русатом Инфраструктурные решения» (РИР) оказывают помощь управляющим компаниям Озерска в настройке работы внутридомовых коммуникаций. По договоренности с администрацией города РИР проверяет работу внутридомовых систем в 100 домах и в случае необходимости проводит регулировку работы коммуникаций или меняет оборудование.</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«Мы провели обследование в 85 домах и в ближайшее время проверим оставшиеся. Почти везде нужна регулировка внутридомовой системы или замена оборудования. Чтобы помочь управляющим компаниям восстановить нормальные параметры теплоснабжения квартир в этот и в следующие отопительные сезоны, закуплено необходимое оборудование на сумму около 1 млн рублей. После обследования мы выполним его замену и настройку. В настоящее время в нормативное состояние приведены теплоузлы в восьми домах», — отметил главный инженер РИР Андрей Зенин.</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Для обследования были выбраны 100 домов, расположенные на ул. Герцена,  Свердлова, Менделеева, Студенческой, Бажова, Строительной, Кирова, Чапаева, Космонавтов и на пр. Ленина и пр. Победы, находящиеся максимально близко к источнику тепловой энергии (в данном случае насосно-смесительным станциям ФГУП «ПО „Маяк“») и где нарушен режим теплоснабжения. В работах задействованы две бригады РИР. Для того чтобы провести монтажные работы максимально быстро, дополнительно были привлечены специалисты Новоуральского филиала компании.</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«Для нас нормализация обстановки по отоплению в Озерске — приоритетная задача, поэтому мы помогаем УК настроить работу теплоузлов», — отмечает заместитель директора по коммерческой деятельности Озерского филиала РИР Алексей Комаров.</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В первую очередь сотрудники РИР проверяют работу запорно-регулирующей арматуры в системе горячего водоснабжения. Неисправные терморегуляторы — основная причина того, что на горячее водоснабжение уходит больше теплоносителя, чем нужно, а на отопительные приборы не хватает. Чтобы решить проблему, правильно настраивают работу оборудования либо меняют его. Чаще всего устанавливают новые регуляторы температуры горячей воды, запорную арматуру, восстанавливают линии циркуляции. Сотрудники управляющих компаний организовывают доступ в тепловые узлы, обеспечивают безопасность производства работ и совместно с сотрудниками АО «РИР» производят регулировку вновь установленного оборудования.</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Кроме того, чтобы быстро ликвидировать последствия аварий, озерский филиал РИР закупил и передал озерскому</w:t>
      </w:r>
      <w:r w:rsidDel="00000000" w:rsidR="00000000" w:rsidRPr="00000000">
        <w:rPr>
          <w:rtl w:val="0"/>
        </w:rPr>
        <w:t xml:space="preserve"> </w:t>
      </w:r>
      <w:r w:rsidDel="00000000" w:rsidR="00000000" w:rsidRPr="00000000">
        <w:rPr>
          <w:rtl w:val="0"/>
        </w:rPr>
        <w:t xml:space="preserve">муниципальному унитарному многоотраслевому предприятию коммунального хозяйства </w:t>
      </w:r>
      <w:r w:rsidDel="00000000" w:rsidR="00000000" w:rsidRPr="00000000">
        <w:rPr>
          <w:rFonts w:ascii="Arial" w:cs="Arial" w:eastAsia="Arial" w:hAnsi="Arial"/>
          <w:color w:val="333333"/>
          <w:sz w:val="20"/>
          <w:szCs w:val="20"/>
          <w:highlight w:val="white"/>
          <w:rtl w:val="0"/>
        </w:rPr>
        <w:t xml:space="preserve">(</w:t>
      </w:r>
      <w:r w:rsidDel="00000000" w:rsidR="00000000" w:rsidRPr="00000000">
        <w:rPr>
          <w:rtl w:val="0"/>
        </w:rPr>
        <w:t xml:space="preserve">ММПКХ) новое оборудование (генераторы, сварочные аппараты, болгарки, мотопомпы, рукава и пр.). Техника пополнит существующий арсенал оборудования муниципального предприятия. «Благодарю за такой внушительный подарок. Вместе мы идем к общей цели и наведем порядок в инженерной инфраструктуре Озерского городского округа», — подчеркнул директор ММПКХ Сергей Бердников.</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АО «Русатом Инфраструктурные решения» — дивизион Госкорпорации «Росатом», диверсифицированный холдинг, работающий в энергетике, сфере ИТ, жилищно-коммунальном секторе. Компания управляет неатомной генерацией Госкорпорации «Росатом», реализует проекты по цифровизации муниципального и регионального управления, модернизации ресурсоснабжения, развития городской среды. Генерирующие мощности компании и теплосети расположены в 16 регионах России. Общая установленная электрическая мощность электростанций составляет 3,6 ГВт, тепловая — 18,7 тыс. Гкал/ч. Различные проекты в сфере цифровизации и ЖКХ реализуются более чем в 200 городах — от Мурманска до Сахалина.</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 Эта деятельность включает в себя ускорение реализации национальных проектов, комплексное улучшение жилищных условий граждан, уровня доступности медицины, развитие инфраструктуры. Предприятия Госкорпорации «Росатом» принимают активное участие в этой работе.</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pPr>
      <w:r w:rsidDel="00000000" w:rsidR="00000000" w:rsidRPr="00000000">
        <w:rPr>
          <w:rtl w:val="0"/>
        </w:rPr>
        <w:t xml:space="preserve"> </w:t>
      </w:r>
    </w:p>
    <w:p w:rsidR="00000000" w:rsidDel="00000000" w:rsidP="00000000" w:rsidRDefault="00000000" w:rsidRPr="00000000" w14:paraId="0000001E">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Пресс-служба АО «Русатом Инфраструктурные решения»</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JCnrI2TpiWdDuT5GPRURcqtYdw==">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2024-02-29T13:30:00Z</dcterms:created>
  <dc:creator>b v</dc:creator>
</cp:coreProperties>
</file>