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pBdr/>
        <w:spacing w:lineRule="auto" w:line="276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tbl>
      <w:tblPr>
        <w:tblStyle w:val="Table1"/>
        <w:tblpPr w:bottomFromText="0" w:horzAnchor="text" w:leftFromText="180" w:rightFromText="180" w:tblpX="-142" w:tblpY="0" w:topFromText="0" w:vertAnchor="text"/>
        <w:tblW w:w="1077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518"/>
        <w:gridCol w:w="4120"/>
        <w:gridCol w:w="5136"/>
      </w:tblGrid>
      <w:tr>
        <w:trPr/>
        <w:tc>
          <w:tcPr>
            <w:tcW w:w="1518" w:type="dxa"/>
            <w:tcBorders/>
          </w:tcPr>
          <w:p>
            <w:pPr>
              <w:pStyle w:val="Normal"/>
              <w:widowControl w:val="false"/>
              <w:ind w:right="5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l="0" t="0" r="0" b="0"/>
                  <wp:wrapSquare wrapText="bothSides"/>
                  <wp:docPr id="1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0" w:type="dxa"/>
            <w:tcBorders/>
          </w:tcPr>
          <w:p>
            <w:pPr>
              <w:pStyle w:val="Normal"/>
              <w:widowControl w:val="false"/>
              <w:ind w:right="5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Медиацентр атомной</w:t>
            </w:r>
          </w:p>
          <w:p>
            <w:pPr>
              <w:pStyle w:val="Normal"/>
              <w:widowControl w:val="false"/>
              <w:ind w:right="5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  <w:br/>
            </w:r>
            <w:hyperlink r:id="rId3">
              <w:r>
                <w:rPr>
                  <w:color w:val="0563C1"/>
                  <w:sz w:val="28"/>
                  <w:szCs w:val="28"/>
                  <w:u w:val="single"/>
                </w:rPr>
                <w:t>atommedia.online</w:t>
              </w:r>
            </w:hyperlink>
          </w:p>
        </w:tc>
        <w:tc>
          <w:tcPr>
            <w:tcW w:w="5136" w:type="dxa"/>
            <w:tcBorders/>
          </w:tcPr>
          <w:p>
            <w:pPr>
              <w:pStyle w:val="Normal"/>
              <w:widowControl w:val="false"/>
              <w:ind w:right="560" w:hang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Пресс-релиз</w:t>
            </w:r>
          </w:p>
          <w:p>
            <w:pPr>
              <w:pStyle w:val="Normal"/>
              <w:widowControl w:val="false"/>
              <w:ind w:right="560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26.02.24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spacing w:lineRule="auto" w:line="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Ученые Росатома обосновали безопасность отдельных узлов и систем многоцелевого исследовательского реактора на быстрых нейтронах</w:t>
      </w:r>
    </w:p>
    <w:p>
      <w:pPr>
        <w:pStyle w:val="Normal"/>
        <w:spacing w:lineRule="auto" w:line="276"/>
        <w:jc w:val="center"/>
        <w:rPr>
          <w:i/>
          <w:i/>
        </w:rPr>
      </w:pPr>
      <w:r>
        <w:rPr>
          <w:i/>
        </w:rPr>
        <w:t>Работы по конструированию оборудования и обоснованию безопасности установки ведутся параллельно с сооружением объекта в Димитровграде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rPr/>
      </w:pPr>
      <w:r>
        <w:rPr/>
        <w:t>Ученые Физико-энергетического института им. А. И. Лейпунского (ГНЦ РФ — ФЭИ, входит в научный дивизион Росатома), который выступает головной научной организацией на сооружении многоцелевого исследовательского реактора на быстрых нейтронах (МБИР), завершили важные испытания элементов его конструкции.</w:t>
      </w:r>
    </w:p>
    <w:p>
      <w:pPr>
        <w:pStyle w:val="Normal"/>
        <w:spacing w:lineRule="auto" w:line="276"/>
        <w:rPr/>
      </w:pPr>
      <w:r>
        <w:rPr/>
        <w:t> </w:t>
      </w:r>
    </w:p>
    <w:p>
      <w:pPr>
        <w:pStyle w:val="Normal"/>
        <w:spacing w:lineRule="auto" w:line="276"/>
        <w:rPr/>
      </w:pPr>
      <w:r>
        <w:rPr/>
        <w:t>Полученные результаты позволяют перейти к производству топливных элементов (твэлов) для будущего реактора, который после ввода в эксплуатацию станет самым мощным (150 МВт) работающим быстрым исследовательским реактором в мире. В 2024 году ученые ГНЦ НИИАР планируют поставить твэлы на производство.</w:t>
      </w:r>
    </w:p>
    <w:p>
      <w:pPr>
        <w:pStyle w:val="Normal"/>
        <w:spacing w:lineRule="auto" w:line="276"/>
        <w:rPr/>
      </w:pPr>
      <w:r>
        <w:rPr/>
        <w:t> </w:t>
      </w:r>
    </w:p>
    <w:p>
      <w:pPr>
        <w:pStyle w:val="Normal"/>
        <w:spacing w:lineRule="auto" w:line="276"/>
        <w:rPr/>
      </w:pPr>
      <w:r>
        <w:rPr/>
        <w:t>«Анализ результатов экспериментальной отработки и стендовых испытаний предохранительных мембранных устройств дал положительный результат обоснования безопасности», — отметила руководитель проектного офиса ГНЦ РФ — ФЭИ Вероника Долгих.</w:t>
      </w:r>
    </w:p>
    <w:p>
      <w:pPr>
        <w:pStyle w:val="Normal"/>
        <w:spacing w:lineRule="auto" w:line="276"/>
        <w:rPr/>
      </w:pPr>
      <w:r>
        <w:rPr/>
        <w:t> </w:t>
      </w:r>
    </w:p>
    <w:p>
      <w:pPr>
        <w:pStyle w:val="Normal"/>
        <w:spacing w:lineRule="auto" w:line="276"/>
        <w:rPr>
          <w:b/>
        </w:rPr>
      </w:pPr>
      <w:r>
        <w:rPr>
          <w:b/>
        </w:rPr>
        <w:t>Справка:</w:t>
      </w:r>
    </w:p>
    <w:p>
      <w:pPr>
        <w:pStyle w:val="Normal"/>
        <w:spacing w:lineRule="auto" w:line="276"/>
        <w:rPr/>
      </w:pPr>
      <w:r>
        <w:rPr/>
        <w:t> </w:t>
      </w:r>
    </w:p>
    <w:p>
      <w:pPr>
        <w:pStyle w:val="Normal"/>
        <w:spacing w:lineRule="auto" w:line="276"/>
        <w:rPr/>
      </w:pPr>
      <w:r>
        <w:rPr/>
        <w:t>МБИР — это многоцелевой научно-исследовательский реактор четвертого поколения на быстрых нейтронах. МБИР возводится на площадке Научно-исследовательского института атомных реакторов (ГНЦ НИИАР, также входит в научный дивизион) в рамках комплексной программы развития техники, технологий и научных исследований в области атомной энергетики (КП «РТТН»). Запуск реактора позволит проводить не имеющие аналогов реакторные и послереакторные эксперименты, отточить технологии наработки изотопов и модифицированных материалов. Работы ведутся в рамках федерального проекта «Создание современной экспериментально-стендовой базы для разработки технологий двухкомпонентной атомной энергетики с замкнутым ядерным топливным циклом», включенного в комплексную программу «Развитие техники, технологий и научных исследований в области использования атомной энергии в Российской Федерации» (КП «РТТН»). Предполагается, что МБИР придет на смену широко востребованному сегодня реактору БОР-60, который уже более полувека работает на площадке ГНЦ НИИАР. Новый реактор обеспечит атомную отрасль технологически современной исследовательской инфраструктурой на ближайшие 50 лет.</w:t>
      </w:r>
    </w:p>
    <w:p>
      <w:pPr>
        <w:pStyle w:val="Normal"/>
        <w:spacing w:lineRule="auto" w:line="276"/>
        <w:rPr/>
      </w:pPr>
      <w:r>
        <w:rPr/>
        <w:t> </w:t>
      </w:r>
    </w:p>
    <w:p>
      <w:pPr>
        <w:pStyle w:val="Normal"/>
        <w:spacing w:lineRule="auto" w:line="276"/>
        <w:rPr/>
      </w:pPr>
      <w:r>
        <w:rPr/>
        <w:t>При сооружении МБИР используются лучшие из существующих технологий Госкорпорации «Росатом» и новые управленческие подходы — консорциумная модель управления сооружением. Полномасштабно применяются инструменты комплексного дистанционного мониторинга: съемка с беспилотных летательных аппаратов, лазерное сканирование. Благодаря применяемым технологиям и тесному взаимодействию ученых и строителей сооружение МБИР идет с опережением графика.</w:t>
      </w:r>
    </w:p>
    <w:p>
      <w:pPr>
        <w:pStyle w:val="Normal"/>
        <w:spacing w:lineRule="auto" w:line="276"/>
        <w:rPr/>
      </w:pPr>
      <w:r>
        <w:rPr/>
        <w:t> </w:t>
      </w:r>
    </w:p>
    <w:p>
      <w:pPr>
        <w:pStyle w:val="Normal"/>
        <w:spacing w:lineRule="auto" w:line="276"/>
        <w:rPr/>
      </w:pPr>
      <w:r>
        <w:rPr/>
        <w:t>Одним из ключевых событий 2023 года стало возведение свода реакторного зала. В реализации уникальной задачи участвовало свыше 1000 человек.</w:t>
      </w:r>
    </w:p>
    <w:p>
      <w:pPr>
        <w:pStyle w:val="Normal"/>
        <w:spacing w:lineRule="auto" w:line="276"/>
        <w:rPr/>
      </w:pPr>
      <w:r>
        <w:rPr/>
        <w:t> </w:t>
      </w:r>
    </w:p>
    <w:p>
      <w:pPr>
        <w:pStyle w:val="Normal"/>
        <w:spacing w:lineRule="auto" w:line="276"/>
        <w:rPr/>
      </w:pPr>
      <w:r>
        <w:rPr/>
        <w:t>Комплексная программа «Развитие техники, технологий и научных исследований в области использования атомной энергии в РФ» (КП «РТТН») разработана Госкорпорацией «Росатом» совместно с НИЦ «Курчатовский институт», Российской академией наук, а также Министерством науки и высшего образования РФ. Она включает разработку новых передовых технологий и материалов, образцов новой техники, техническое перевооружение, строительство уникальных комплексов и объектов инфраструктуры в области атомной энергетики и управления реакциями термоядерного синтеза, а также атомных станций малой мощности. В апреле 2022 года указом Президента РФ продлена до 2030 года.</w:t>
      </w:r>
    </w:p>
    <w:p>
      <w:pPr>
        <w:pStyle w:val="Normal"/>
        <w:spacing w:lineRule="auto" w:line="276"/>
        <w:rPr/>
      </w:pPr>
      <w:r>
        <w:rPr/>
        <w:t> </w:t>
      </w:r>
    </w:p>
    <w:p>
      <w:pPr>
        <w:pStyle w:val="Normal"/>
        <w:spacing w:lineRule="auto" w:line="276"/>
        <w:rPr/>
      </w:pPr>
      <w:r>
        <w:rPr/>
        <w:t>Перед российской промышленностью стоит цель в кратчайшие сроки обеспечить технологический суверенитет и переход на новейшие технологии. Государство и крупные отечественные компании направляют ресурсы на ускоренное развитие отечественной исследовательской, инфраструктурной, научно-технологической базы. Внедрение инноваций и нового высокотехнологичного оборудования позволяет Росатому и его предприятиям занимать новые ниши на рынке, повышая конкурентоспособность атомной отрасли и всей российской промышленности в целом.</w:t>
      </w:r>
    </w:p>
    <w:p>
      <w:pPr>
        <w:pStyle w:val="Normal"/>
        <w:spacing w:lineRule="auto" w:line="276"/>
        <w:rPr/>
      </w:pPr>
      <w:r>
        <w:rPr/>
        <w:t> </w:t>
      </w:r>
    </w:p>
    <w:p>
      <w:pPr>
        <w:pStyle w:val="Normal"/>
        <w:spacing w:lineRule="auto" w:line="276"/>
        <w:rPr/>
      </w:pPr>
      <w:r>
        <w:rPr/>
        <w:t> </w:t>
      </w:r>
    </w:p>
    <w:p>
      <w:pPr>
        <w:pStyle w:val="Normal"/>
        <w:spacing w:lineRule="auto" w:line="276"/>
        <w:rPr/>
      </w:pPr>
      <w:r>
        <w:rPr/>
        <w:t xml:space="preserve"> </w:t>
      </w:r>
    </w:p>
    <w:p>
      <w:pPr>
        <w:pStyle w:val="Normal"/>
        <w:ind w:right="560" w:hanging="0"/>
        <w:rPr>
          <w:sz w:val="28"/>
          <w:szCs w:val="28"/>
        </w:rPr>
      </w:pPr>
      <w:r>
        <w:rPr/>
      </w:r>
    </w:p>
    <w:sectPr>
      <w:footerReference w:type="default" r:id="rId4"/>
      <w:type w:val="nextPage"/>
      <w:pgSz w:w="12240" w:h="15840"/>
      <w:pgMar w:left="1134" w:right="1134" w:gutter="0" w:header="0" w:top="454" w:footer="72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swiss"/>
    <w:pitch w:val="default"/>
  </w:font>
  <w:font w:name="Georgia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680" w:leader="none"/>
        <w:tab w:val="right" w:pos="9360" w:leader="none"/>
      </w:tabs>
      <w:rPr>
        <w:color w:val="595959"/>
      </w:rPr>
    </w:pPr>
    <w:r>
      <w:rPr>
        <w:color w:val="595959"/>
      </w:rPr>
    </w:r>
  </w:p>
  <w:p>
    <w:pPr>
      <w:pStyle w:val="Normal"/>
      <w:pBdr/>
      <w:tabs>
        <w:tab w:val="clear" w:pos="720"/>
        <w:tab w:val="center" w:pos="4680" w:leader="none"/>
        <w:tab w:val="right" w:pos="9360" w:leader="none"/>
      </w:tabs>
      <w:rPr>
        <w:i/>
        <w:i/>
        <w:color w:val="595959"/>
      </w:rPr>
    </w:pPr>
    <w:r>
      <w:rPr>
        <w:i/>
        <w:color w:val="595959"/>
      </w:rPr>
      <w:t>Пресс-служба АО «ГНЦ-ФЭИ», АО «ГНЦ НИИАР»</w:t>
    </w:r>
  </w:p>
</w:ft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-">
    <w:name w:val="Hyperlink"/>
    <w:basedOn w:val="DefaultParagraphFont"/>
    <w:uiPriority w:val="99"/>
    <w:unhideWhenUsed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56287"/>
    <w:rPr>
      <w:color w:val="605E5C"/>
      <w:shd w:fill="E1DFDD" w:val="clear"/>
    </w:rPr>
  </w:style>
  <w:style w:type="character" w:styleId="Style8" w:customStyle="1">
    <w:name w:val="Верхний колонтитул Знак"/>
    <w:basedOn w:val="DefaultParagraphFont"/>
    <w:uiPriority w:val="99"/>
    <w:qFormat/>
    <w:rsid w:val="00c56287"/>
    <w:rPr/>
  </w:style>
  <w:style w:type="character" w:styleId="Style9" w:customStyle="1">
    <w:name w:val="Нижний колонтитул Знак"/>
    <w:basedOn w:val="DefaultParagraphFont"/>
    <w:uiPriority w:val="99"/>
    <w:qFormat/>
    <w:rsid w:val="00c56287"/>
    <w:rPr/>
  </w:style>
  <w:style w:type="character" w:styleId="Style10">
    <w:name w:val="FollowedHyperlink"/>
    <w:basedOn w:val="DefaultParagraphFont"/>
    <w:uiPriority w:val="99"/>
    <w:semiHidden/>
    <w:unhideWhenUsed/>
    <w:rsid w:val="00c56287"/>
    <w:rPr>
      <w:color w:val="954F72" w:themeColor="followedHyperlink"/>
      <w:u w:val="single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ascii="Calibri" w:hAnsi="Calibri"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ru-RU" w:eastAsia="zh-CN" w:bidi="hi-IN"/>
    </w:rPr>
  </w:style>
  <w:style w:type="paragraph" w:styleId="Style16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7">
    <w:name w:val="Колонтитул"/>
    <w:basedOn w:val="Normal"/>
    <w:qFormat/>
    <w:pPr/>
    <w:rPr/>
  </w:style>
  <w:style w:type="paragraph" w:styleId="Style18">
    <w:name w:val="Header"/>
    <w:basedOn w:val="Normal"/>
    <w:link w:val="Style8"/>
    <w:uiPriority w:val="99"/>
    <w:unhideWhenUsed/>
    <w:rsid w:val="00c56287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Style19">
    <w:name w:val="Footer"/>
    <w:basedOn w:val="Normal"/>
    <w:link w:val="Style9"/>
    <w:uiPriority w:val="99"/>
    <w:unhideWhenUsed/>
    <w:rsid w:val="00c56287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Style20">
    <w:name w:val="Subtitle"/>
    <w:basedOn w:val="Normal1"/>
    <w:next w:val="Normal1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39"/>
    <w:rsid w:val="000776e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atommedia.online/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4pXC7CghzarLYt+I+Ty9OgsPVhQ==">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2</Pages>
  <Words>476</Words>
  <Characters>3645</Characters>
  <CharactersWithSpaces>4122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2024-02-26T10:04:00Z</dcterms:created>
  <dc:creator>b v</dc:creator>
  <dc:description/>
  <dc:language>ru-RU</dc:language>
  <cp:lastModifiedBy/>
  <dcterms:modified xsi:type="dcterms:W3CDTF">2024-02-26T16:54:35Z</dcterms:modified>
  <cp:revision>1</cp:revision>
  <dc:subject/>
  <dc:title/>
</cp:coreProperties>
</file>