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pPr w:bottomFromText="0" w:horzAnchor="text" w:leftFromText="180" w:rightFromText="180" w:tblpX="-142" w:tblpY="0" w:topFromText="0" w:vertAnchor="text"/>
        <w:tblW w:w="107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18"/>
        <w:gridCol w:w="4120"/>
        <w:gridCol w:w="5136"/>
      </w:tblGrid>
      <w:tr>
        <w:trPr/>
        <w:tc>
          <w:tcPr>
            <w:tcW w:w="1518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  <w:br/>
            </w:r>
            <w:hyperlink r:id="rId3"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</w:hyperlink>
          </w:p>
        </w:tc>
        <w:tc>
          <w:tcPr>
            <w:tcW w:w="5136" w:type="dxa"/>
            <w:tcBorders/>
          </w:tcPr>
          <w:p>
            <w:pPr>
              <w:pStyle w:val="Normal"/>
              <w:widowControl w:val="false"/>
              <w:ind w:right="560" w:hang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>
            <w:pPr>
              <w:pStyle w:val="Normal"/>
              <w:widowControl w:val="false"/>
              <w:ind w:right="56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330 решений Росатома включено в Единый реестр российского программного обеспечения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Внесение в реестр подтверждает отечественное происхождение решений и позволяет включать их в закупки для государственных и муниципальных нужд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В Единый реестр российских программ для электронных вычислительных машин и баз данных с 2016 года внесено 332 решения, разработанных Госкорпорацией «Росатом» и ее предприятиями. Реестр является официальным подтверждением высокого качества и надежности представленного программного обеспечения.</w:t>
      </w:r>
    </w:p>
    <w:p>
      <w:pPr>
        <w:pStyle w:val="Normal"/>
        <w:spacing w:lineRule="auto" w:line="276"/>
        <w:rPr/>
      </w:pPr>
      <w:r>
        <w:rPr/>
        <w:t> </w:t>
      </w:r>
    </w:p>
    <w:p>
      <w:pPr>
        <w:pStyle w:val="Normal"/>
        <w:spacing w:lineRule="auto" w:line="276"/>
        <w:rPr/>
      </w:pPr>
      <w:r>
        <w:rPr/>
        <w:t>На сегодняшний день в Едином реестре представлены инструменты для автоматизации управления предприятием, системы прогнозирования качества изделий и состояния оборудования, продукты для проектирования и управления конфигурацией, программные решения для ядерной энергетики и цифровые сервисы для эффективного управления городом. Все эти решения разработаны с учетом специфики деятельности атомной отрасли и призваны оптимизировать рабочие процессы, повышать качество продукции и обеспечивать безопасность на предприятиях.</w:t>
      </w:r>
    </w:p>
    <w:p>
      <w:pPr>
        <w:pStyle w:val="Normal"/>
        <w:spacing w:lineRule="auto" w:line="276"/>
        <w:rPr/>
      </w:pPr>
      <w:r>
        <w:rPr/>
        <w:t> </w:t>
      </w:r>
    </w:p>
    <w:p>
      <w:pPr>
        <w:pStyle w:val="Normal"/>
        <w:spacing w:lineRule="auto" w:line="276"/>
        <w:rPr/>
      </w:pPr>
      <w:r>
        <w:rPr/>
        <w:t>Как отметил директор по информационной инфраструктуре Госкорпорации «Росатом» Евгений Абакумов, разработка импортонезависимых ИТ-решений играет важную роль в гарантированном функционировании атомной отрасли, так как их использование обеспечивает надежность и безопасность важнейших процессов. «Основными принципами создания отечественных решений Росатома являются надежность, доступность и масштабируемость. Включение наших ИТ-разработок в Единый реестр российских программ для электронных вычислительных машин и баз данных является ярким подтверждением высокого инновационного потенциала атомной отрасли в области информационных технологий», — добавил он.</w:t>
      </w:r>
    </w:p>
    <w:p>
      <w:pPr>
        <w:pStyle w:val="Normal"/>
        <w:spacing w:lineRule="auto" w:line="276"/>
        <w:rPr/>
      </w:pPr>
      <w:r>
        <w:rPr/>
        <w:t> </w:t>
      </w:r>
    </w:p>
    <w:p>
      <w:pPr>
        <w:pStyle w:val="Normal"/>
        <w:spacing w:lineRule="auto" w:line="276"/>
        <w:rPr/>
      </w:pPr>
      <w:r>
        <w:rPr/>
        <w:t>С помощью реестра российские компании могут выбирать лучшие отечественные решения для своих нужд, что способствует развитию ИТ-отрасли и повышению конкурентоспособности российской экономики.</w:t>
      </w:r>
    </w:p>
    <w:p>
      <w:pPr>
        <w:pStyle w:val="Normal"/>
        <w:spacing w:lineRule="auto" w:line="276"/>
        <w:rPr/>
      </w:pPr>
      <w:r>
        <w:rPr/>
        <w:t> </w:t>
      </w:r>
    </w:p>
    <w:p>
      <w:pPr>
        <w:pStyle w:val="Normal"/>
        <w:spacing w:lineRule="auto" w:line="276"/>
        <w:rPr>
          <w:b/>
        </w:rPr>
      </w:pPr>
      <w:r>
        <w:rPr>
          <w:b/>
        </w:rPr>
        <w:t>Справка:</w:t>
      </w:r>
    </w:p>
    <w:p>
      <w:pPr>
        <w:pStyle w:val="Normal"/>
        <w:spacing w:lineRule="auto" w:line="276"/>
        <w:rPr/>
      </w:pPr>
      <w:r>
        <w:rPr/>
        <w:t> </w:t>
      </w:r>
    </w:p>
    <w:p>
      <w:pPr>
        <w:pStyle w:val="Normal"/>
        <w:spacing w:lineRule="auto" w:line="276"/>
        <w:rPr/>
      </w:pPr>
      <w:r>
        <w:rPr/>
        <w:t>Госкорпорация «Росатом» — глобальный технологический многопрофильный холдинг, объединяющий активы в энергетике, машиностроении, строительстве. Включает в себя более 400 предприятий и организаций, в которых работает 330 тыс. человек. С 2018 г.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 реализации правительственных дорожных карт по развитию высокотехнологичных областей «Новое индустриальное программное обеспечение» и «Квантовые вычисления»; с 2021 года реализует первый российский проект по импортозамещению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Росатома более 60 цифровых продуктов. 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Также в рамках ЕЦС Росатом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>
      <w:pPr>
        <w:pStyle w:val="Normal"/>
        <w:spacing w:lineRule="auto" w:line="276"/>
        <w:rPr/>
      </w:pPr>
      <w:r>
        <w:rPr/>
        <w:t> </w:t>
      </w:r>
    </w:p>
    <w:p>
      <w:pPr>
        <w:pStyle w:val="Normal"/>
        <w:spacing w:lineRule="auto" w:line="276"/>
        <w:rPr/>
      </w:pPr>
      <w:r>
        <w:rPr/>
        <w:t>АО «Гринатом» — ИТ-интегратор Госкорпорации «Росатом». Компания ведет собственную разработку ПО, осуществляет поддержку и развитие корпоративных ИТ-систем, разрабатывает программных роботов, занимается проектным управлением, импортозамещением, применяет искусственный интеллект и машинное обучение. Ежедневно продуктами и услугами «Гринатома» пользуются более 300 тысяч сотрудников атомной отрасли.</w:t>
      </w:r>
    </w:p>
    <w:p>
      <w:pPr>
        <w:pStyle w:val="Normal"/>
        <w:spacing w:lineRule="auto" w:line="276"/>
        <w:rPr/>
      </w:pPr>
      <w:r>
        <w:rPr/>
        <w:t> </w:t>
      </w:r>
    </w:p>
    <w:p>
      <w:pPr>
        <w:pStyle w:val="Normal"/>
        <w:spacing w:lineRule="auto" w:line="276"/>
        <w:rPr/>
      </w:pPr>
      <w:r>
        <w:rPr/>
        <w:t>Ускоренное развитие промышленности напрямую зависит от темпов перехода на современную технологическую основу, отечественные цифровые решения. Руководство страны ставит задачу обеспечить массовое внедрение российских ИТ-решений во всех стратегических отраслях. Росатом принимает участие в этой работе, координируя создание импортозамещающих систем для различных применений.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Единый реестр российских программ для электронных вычислительных машин и баз данных — публичная электронная система учета программного обеспечения, произведенного в Российской Федерации, соответствующего стандартам Министерства цифрового развития, связи и массовых коммуникаций Российской Федерации.</w:t>
      </w:r>
    </w:p>
    <w:sectPr>
      <w:footerReference w:type="default" r:id="rId4"/>
      <w:type w:val="nextPage"/>
      <w:pgSz w:w="12240" w:h="15840"/>
      <w:pgMar w:left="1134" w:right="1134" w:gutter="0" w:header="0" w:top="45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color w:val="595959"/>
      </w:rPr>
    </w:pPr>
    <w:r>
      <w:rPr>
        <w:color w:val="595959"/>
      </w:rPr>
    </w:r>
  </w:p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i/>
        <w:i/>
        <w:color w:val="595959"/>
      </w:rPr>
    </w:pPr>
    <w:r>
      <w:rPr>
        <w:i/>
        <w:color w:val="595959"/>
      </w:rPr>
      <w:t>Пресс-служба АО «Гринатом»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basedOn w:val="DefaultParagraphFont"/>
    <w:uiPriority w:val="99"/>
    <w:unhideWhenUsed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56287"/>
    <w:rPr>
      <w:color w:val="605E5C"/>
      <w:shd w:fill="E1DFDD" w:val="clear"/>
    </w:rPr>
  </w:style>
  <w:style w:type="character" w:styleId="Style8" w:customStyle="1">
    <w:name w:val="Верхний колонтитул Знак"/>
    <w:basedOn w:val="DefaultParagraphFont"/>
    <w:uiPriority w:val="99"/>
    <w:qFormat/>
    <w:rsid w:val="00c56287"/>
    <w:rPr/>
  </w:style>
  <w:style w:type="character" w:styleId="Style9" w:customStyle="1">
    <w:name w:val="Нижний колонтитул Знак"/>
    <w:basedOn w:val="DefaultParagraphFont"/>
    <w:uiPriority w:val="99"/>
    <w:qFormat/>
    <w:rsid w:val="00c56287"/>
    <w:rPr/>
  </w:style>
  <w:style w:type="character" w:styleId="Style10">
    <w:name w:val="FollowedHyperlink"/>
    <w:basedOn w:val="DefaultParagraphFont"/>
    <w:uiPriority w:val="99"/>
    <w:semiHidden/>
    <w:unhideWhenUsed/>
    <w:rsid w:val="00c56287"/>
    <w:rPr>
      <w:color w:val="954F72" w:themeColor="followedHyperlink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Calibri" w:hAnsi="Calibri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8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19">
    <w:name w:val="Footer"/>
    <w:basedOn w:val="Normal"/>
    <w:link w:val="Style9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0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077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tommedia.online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jK0hmM7b2Lc8Bc8eBF8S3y/XPag==">CgMxLjA4AGojChRzdWdnZXN0LnN5NmZ0bWIxbnptZBILU3RyYW5nZSBDYXRqIgoTc3VnZ2VzdC5pemlyeW1vdHl6bRILU3RyYW5nZSBDYXRqIwoUc3VnZ2VzdC5rY21pNTVoYjh2OGISC1N0cmFuZ2UgQ2F0aiMKFHN1Z2dlc3QudHRkY3ZpczBxdWlvEgtTdHJhbmdlIENhdHIhMXZHX3Q4czRrdXRHbXlaMl9YNFhoQ21yYld1bGthR0RR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552</Words>
  <Characters>4380</Characters>
  <CharactersWithSpaces>4930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2024-02-28T08:45:00Z</dcterms:created>
  <dc:creator>b v</dc:creator>
  <dc:description/>
  <dc:language>ru-RU</dc:language>
  <cp:lastModifiedBy/>
  <dcterms:modified xsi:type="dcterms:W3CDTF">2024-02-28T12:37:07Z</dcterms:modified>
  <cp:revision>1</cp:revision>
  <dc:subject/>
  <dc:title/>
</cp:coreProperties>
</file>