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2 АЭС «Руппур» (Бангладеш) завершено бетонирование наружной защитной оболочки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Работы выполнены с опережением сроков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сооружения АЭС «Руппур» в Народной Республике Бангладеш (генеральный проектировщик и генеральный подрядчик — инжиниринговый дивизион Госкорпорации «Росатом») на пять дней раньше запланированного срока завершены работы по бетонированию наружной защитной оболочки (НЗО) реакторного здания энергоблока № 2.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 ее армированию приступили сразу же после монтажа металлоконструкций купола НЗО. Весь процесс занял 122 дня. Сократить сроки на пять дней получилось благодаря объединению заливки двух последних ярусов.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работах участвовало 75 специалистов, 60 из которых — местный персонал. Для укладки бетона на последнем ярусе потребовалось 12 автобетоносмесителей, две бетонораспределительные стрелы и 130 куб. метров бетона. На заливку всей купольной части — 1233 куб. метра. Диаметр купола НЗО у основания по внутренней облицовке составляет более 46 метров, толщина оболочки — 500 миллиметров.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«Завершение бетонирования наружной защитной оболочки здания реактора второго энергоблока позволяет приступить к монтажу дефлектора системы пассивного отвода тепла. Предстоит подготовка закладных деталей к монтажу, ревизия строповочной оснастки и сбор необходимой документации для подъема дефлектора системы пассивного отвода тепла с использованием крана», — прокомментировал вице-президент — директор проекта по сооружению АЭС «Руппур» АО «АСЭ» Алексей Дерий.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Наружная защитная оболочка — одна из ключевых локализующих систем безопасности. Это железобетонная конструкция, защищающая реакторную установку от внешних воздействий и способная выдержать землетрясение, цунами или ураган.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«Руппур» с двумя реакторами ВВЭР-1200 суммарной мощностью 2400 МВт сооружается по российскому проекту в 160 км от столицы Бангладеш, города Дакка,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двух энергоблоках Нововоронежской АЭС.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+KF+PyTMKWXnS/+mau99xwXJA==">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