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Ростовская АЭС направит в 2024 году 6,5 млрд руб. на модернизацию оборудования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Кампания пройдет на всех четырех энергоблоках в рамках планово-предупредительных ремонтов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объем работ по модернизации будет выполнен на энергоблоке № 1, на котором начата подготовка к продлению срока эксплуатации. В 2030 году истекает срок лицензии на эксплуатацию первого энергоблока самой южной российской АЭС, пущенного в 2001 году. После завершения модернизации, которая выполняется с целью повышения эксплуатационной надежности и безопасности энергоблока, его ресурс будет продлен еще на 30 лет.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«2023 год был первым, когда во время планово-предупредительного ремонта (ППР) мы начали проводить глубокую модернизацию оборудования для продления ресурса блока № 1. Работы будут выполняться во время остановки блока на ППР, т. е. через каждые 18 месяцев. Каждый год в модернизацию блока мы будем вкладывать порядка 2,5–3 млрд руб. В таком режиме будем работать до 2030 года», — сообщил директор Ростовской АЭС Андрей Сальников.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на выполнение программы модернизации на всех четырех энергоблоках атомной станции будет затрачено 5,5 млрд руб. Еще 1 млрд руб. планируется направить на работы по поддержанию оборудования физической защиты объекта, а также на повышение ядерной, радиационной и пожарной безопасности.  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электроэнергетика, в том числе атомная, демонстрирует высокую ответственность, эффективность и устойчивость. Отрасль успешно адаптируется к новым условиям и изменениям, происходящим на глобальном рынке.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главных приоритетов остается обеспечение уверенного, стабильного экономического роста, экономической безопасности страны, а также бесперебойного энергоснабжения населения и предприятий и регионов. Сегодня энергетическая инфраструктура, в том числе предприятия атомной энергетики,  гарантирует экономическую стабильность страны.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России расширяют комплекс мер поддержки отечественной промышленности, ускоряя реализацию новых проектов в соответствии с главной задачей — достижением технологического суверенитета страны.  В целом, финансовая поддержка промышленности РФ в 2023 и 2024 годах составит более 700 млрд руб. в год.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ППР — это плановая процедура, которая проводится на энергоблоках всех атомных станций с целью поддержания стабильного рабочего состояния оборудования для гарантированной безопасной выработки электроэнергии. Своевременное и качественное проведение ремонтных кампаний обеспечивает условия для выполнения государственного задания по выработке электроэнергии.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 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 · ч. Доля атомной генерации в структуре производства электроэнергии Ростовской области составляет более 70%,  Объединенной энергосистемы (ОЭС) Юга — около 30%. 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 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1C+noV326HqlDquq3GHKsVltA==">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